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96A4" w14:textId="77777777" w:rsidR="00B55603" w:rsidRPr="00A82795" w:rsidRDefault="00B55603" w:rsidP="00B55603">
      <w:pPr>
        <w:pStyle w:val="Nadpis3"/>
      </w:pPr>
      <w:r w:rsidRPr="00A82795">
        <w:t>Technická Specifikace: Obnova Primární IT Infrastruktury</w:t>
      </w:r>
    </w:p>
    <w:p w14:paraId="2C9703C5" w14:textId="77777777" w:rsidR="00B55603" w:rsidRPr="00A82795" w:rsidRDefault="00B55603" w:rsidP="00B55603">
      <w:pPr>
        <w:pStyle w:val="Nadpis3"/>
      </w:pPr>
      <w:r w:rsidRPr="00A82795">
        <w:t>1. Úvod a Cíle Projektu</w:t>
      </w:r>
    </w:p>
    <w:p w14:paraId="38786F83" w14:textId="77777777" w:rsidR="00B55603" w:rsidRPr="00A82795" w:rsidRDefault="00B55603" w:rsidP="00B55603">
      <w:pPr>
        <w:pStyle w:val="normal11"/>
        <w:rPr>
          <w:rFonts w:ascii="Times New Roman" w:hAnsi="Times New Roman" w:cs="Times New Roman"/>
        </w:rPr>
      </w:pPr>
      <w:r w:rsidRPr="00A82795">
        <w:rPr>
          <w:rFonts w:ascii="Times New Roman" w:hAnsi="Times New Roman" w:cs="Times New Roman"/>
        </w:rPr>
        <w:t xml:space="preserve">Nová infrastruktura musí vytvořit stabilní, standardizovaný a </w:t>
      </w:r>
      <w:proofErr w:type="spellStart"/>
      <w:r w:rsidRPr="00A82795">
        <w:rPr>
          <w:rFonts w:ascii="Times New Roman" w:hAnsi="Times New Roman" w:cs="Times New Roman"/>
        </w:rPr>
        <w:t>predikovatelný</w:t>
      </w:r>
      <w:proofErr w:type="spellEnd"/>
      <w:r w:rsidRPr="00A82795">
        <w:rPr>
          <w:rFonts w:ascii="Times New Roman" w:hAnsi="Times New Roman" w:cs="Times New Roman"/>
        </w:rPr>
        <w:t xml:space="preserve"> základ pro klíčové informační systémy organizace, umožnit jejich bezpečný a efektivní provoz po dobu následujících let a připravit prostředí na budoucí rozvoj a digitalizaci.</w:t>
      </w:r>
    </w:p>
    <w:p w14:paraId="7F5AD159" w14:textId="77777777" w:rsidR="00B55603" w:rsidRPr="00A82795" w:rsidRDefault="00B55603" w:rsidP="00B55603">
      <w:pPr>
        <w:pStyle w:val="normal11"/>
        <w:rPr>
          <w:rFonts w:ascii="Times New Roman" w:hAnsi="Times New Roman" w:cs="Times New Roman"/>
        </w:rPr>
      </w:pPr>
      <w:r w:rsidRPr="00A82795">
        <w:rPr>
          <w:rFonts w:ascii="Times New Roman" w:hAnsi="Times New Roman" w:cs="Times New Roman"/>
        </w:rPr>
        <w:t>Součástí cíle je také snížení provozních nákladů, zvýšení efektivity IT týmu, zajištění souladu s bezpečnostními standardy a minimalizace rizik spojených s provozem více samostatných systémů.</w:t>
      </w:r>
    </w:p>
    <w:p w14:paraId="5A1E3E96" w14:textId="77777777" w:rsidR="00B55603" w:rsidRPr="00A82795" w:rsidRDefault="00B55603" w:rsidP="00B55603">
      <w:pPr>
        <w:pStyle w:val="normal11"/>
        <w:rPr>
          <w:rFonts w:ascii="Times New Roman" w:hAnsi="Times New Roman" w:cs="Times New Roman"/>
        </w:rPr>
      </w:pPr>
    </w:p>
    <w:p w14:paraId="5553F90D" w14:textId="77777777" w:rsidR="00B55603" w:rsidRPr="00A82795" w:rsidRDefault="00B55603" w:rsidP="00B55603">
      <w:pPr>
        <w:pStyle w:val="normal11"/>
        <w:rPr>
          <w:rFonts w:ascii="Times New Roman" w:hAnsi="Times New Roman" w:cs="Times New Roman"/>
        </w:rPr>
      </w:pPr>
      <w:r w:rsidRPr="00A82795">
        <w:rPr>
          <w:rFonts w:ascii="Times New Roman" w:hAnsi="Times New Roman" w:cs="Times New Roman"/>
        </w:rPr>
        <w:t>Nové řešení musí představovat kompaktní, předem otestovaný a certifikovaný systém, který organizaci umožní soustředit se na rozvoj služeb a inovace, nikoli na řešení provozních problémů.</w:t>
      </w:r>
    </w:p>
    <w:p w14:paraId="11864B88" w14:textId="77777777" w:rsidR="00B55603" w:rsidRPr="00A82795" w:rsidRDefault="00B55603" w:rsidP="00B55603">
      <w:pPr>
        <w:pStyle w:val="Nadpis3"/>
        <w:rPr>
          <w:b w:val="0"/>
        </w:rPr>
      </w:pPr>
      <w:r w:rsidRPr="00A82795">
        <w:t>2. Souhrnné Požadavky na Architekturu</w:t>
      </w:r>
    </w:p>
    <w:p w14:paraId="680C51C8" w14:textId="77777777" w:rsidR="00B55603" w:rsidRPr="00A82795" w:rsidRDefault="00B55603" w:rsidP="00B55603">
      <w:pPr>
        <w:pStyle w:val="normal11"/>
        <w:numPr>
          <w:ilvl w:val="0"/>
          <w:numId w:val="1"/>
        </w:numPr>
        <w:rPr>
          <w:rFonts w:ascii="Times New Roman" w:hAnsi="Times New Roman" w:cs="Times New Roman"/>
        </w:rPr>
      </w:pPr>
      <w:r w:rsidRPr="00A82795">
        <w:rPr>
          <w:rFonts w:ascii="Times New Roman" w:hAnsi="Times New Roman" w:cs="Times New Roman"/>
          <w:b/>
        </w:rPr>
        <w:t>Jádro platformy:</w:t>
      </w:r>
      <w:r w:rsidRPr="00A82795">
        <w:rPr>
          <w:rFonts w:ascii="Times New Roman" w:hAnsi="Times New Roman" w:cs="Times New Roman"/>
        </w:rPr>
        <w:t xml:space="preserve"> Řešení musí být postaveno na softwarově definované </w:t>
      </w:r>
      <w:proofErr w:type="spellStart"/>
      <w:r w:rsidRPr="00A82795">
        <w:rPr>
          <w:rFonts w:ascii="Times New Roman" w:hAnsi="Times New Roman" w:cs="Times New Roman"/>
        </w:rPr>
        <w:t>hyperkonvergované</w:t>
      </w:r>
      <w:proofErr w:type="spellEnd"/>
      <w:r w:rsidRPr="00A82795">
        <w:rPr>
          <w:rFonts w:ascii="Times New Roman" w:hAnsi="Times New Roman" w:cs="Times New Roman"/>
        </w:rPr>
        <w:t xml:space="preserve"> architektuře (HCI), která integruje výpočetní, úložné a virtualizační zdroje do jednotně spravovaného </w:t>
      </w:r>
      <w:proofErr w:type="spellStart"/>
      <w:r w:rsidRPr="00A82795">
        <w:rPr>
          <w:rFonts w:ascii="Times New Roman" w:hAnsi="Times New Roman" w:cs="Times New Roman"/>
        </w:rPr>
        <w:t>appliance</w:t>
      </w:r>
      <w:proofErr w:type="spellEnd"/>
      <w:r w:rsidRPr="00A82795">
        <w:rPr>
          <w:rFonts w:ascii="Times New Roman" w:hAnsi="Times New Roman" w:cs="Times New Roman"/>
        </w:rPr>
        <w:t xml:space="preserve">. Řešení musí být validované výrobcem jako kompletní </w:t>
      </w:r>
      <w:proofErr w:type="spellStart"/>
      <w:r w:rsidRPr="00A82795">
        <w:rPr>
          <w:rFonts w:ascii="Times New Roman" w:hAnsi="Times New Roman" w:cs="Times New Roman"/>
        </w:rPr>
        <w:t>appliance</w:t>
      </w:r>
      <w:proofErr w:type="spellEnd"/>
      <w:r w:rsidRPr="00A82795">
        <w:rPr>
          <w:rFonts w:ascii="Times New Roman" w:hAnsi="Times New Roman" w:cs="Times New Roman"/>
        </w:rPr>
        <w:t xml:space="preserve"> včetně hardware, hypervisoru a </w:t>
      </w:r>
      <w:proofErr w:type="spellStart"/>
      <w:r w:rsidRPr="00A82795">
        <w:rPr>
          <w:rFonts w:ascii="Times New Roman" w:hAnsi="Times New Roman" w:cs="Times New Roman"/>
        </w:rPr>
        <w:t>storage</w:t>
      </w:r>
      <w:proofErr w:type="spellEnd"/>
      <w:r w:rsidRPr="00A82795">
        <w:rPr>
          <w:rFonts w:ascii="Times New Roman" w:hAnsi="Times New Roman" w:cs="Times New Roman"/>
        </w:rPr>
        <w:t xml:space="preserve"> vrstvy v jednom licenčním a podpůrném balíčku.</w:t>
      </w:r>
    </w:p>
    <w:p w14:paraId="3BAA5A65" w14:textId="77777777" w:rsidR="00B55603" w:rsidRPr="00A82795" w:rsidRDefault="00B55603" w:rsidP="00B55603">
      <w:pPr>
        <w:pStyle w:val="normal11"/>
        <w:numPr>
          <w:ilvl w:val="0"/>
          <w:numId w:val="1"/>
        </w:numPr>
        <w:rPr>
          <w:rFonts w:ascii="Times New Roman" w:hAnsi="Times New Roman" w:cs="Times New Roman"/>
        </w:rPr>
      </w:pPr>
      <w:r w:rsidRPr="00A82795">
        <w:rPr>
          <w:rFonts w:ascii="Times New Roman" w:hAnsi="Times New Roman" w:cs="Times New Roman"/>
          <w:b/>
        </w:rPr>
        <w:t>Vysoká dostupnost:</w:t>
      </w:r>
      <w:r w:rsidRPr="00A82795">
        <w:rPr>
          <w:rFonts w:ascii="Times New Roman" w:hAnsi="Times New Roman" w:cs="Times New Roman"/>
        </w:rPr>
        <w:t xml:space="preserve"> Platforma musí být navržena jako plně redundantní bez jediného bodu selhání (No Single Point </w:t>
      </w:r>
      <w:proofErr w:type="spellStart"/>
      <w:r w:rsidRPr="00A82795">
        <w:rPr>
          <w:rFonts w:ascii="Times New Roman" w:hAnsi="Times New Roman" w:cs="Times New Roman"/>
        </w:rPr>
        <w:t>of</w:t>
      </w:r>
      <w:proofErr w:type="spellEnd"/>
      <w:r w:rsidRPr="00A82795">
        <w:rPr>
          <w:rFonts w:ascii="Times New Roman" w:hAnsi="Times New Roman" w:cs="Times New Roman"/>
        </w:rPr>
        <w:t xml:space="preserve"> </w:t>
      </w:r>
      <w:proofErr w:type="spellStart"/>
      <w:r w:rsidRPr="00A82795">
        <w:rPr>
          <w:rFonts w:ascii="Times New Roman" w:hAnsi="Times New Roman" w:cs="Times New Roman"/>
        </w:rPr>
        <w:t>Failure</w:t>
      </w:r>
      <w:proofErr w:type="spellEnd"/>
      <w:r w:rsidRPr="00A82795">
        <w:rPr>
          <w:rFonts w:ascii="Times New Roman" w:hAnsi="Times New Roman" w:cs="Times New Roman"/>
        </w:rPr>
        <w:t xml:space="preserve">). Výpadek libovolného </w:t>
      </w:r>
      <w:proofErr w:type="spellStart"/>
      <w:r w:rsidRPr="00A82795">
        <w:rPr>
          <w:rFonts w:ascii="Times New Roman" w:hAnsi="Times New Roman" w:cs="Times New Roman"/>
        </w:rPr>
        <w:t>appliance</w:t>
      </w:r>
      <w:proofErr w:type="spellEnd"/>
      <w:r w:rsidRPr="00A82795">
        <w:rPr>
          <w:rFonts w:ascii="Times New Roman" w:hAnsi="Times New Roman" w:cs="Times New Roman"/>
        </w:rPr>
        <w:t xml:space="preserve"> node nesmí způsobit nedostupnost služeb ani ztrátu dat a po obnovení node musí být systém schopen automatické </w:t>
      </w:r>
      <w:proofErr w:type="spellStart"/>
      <w:r w:rsidRPr="00A82795">
        <w:rPr>
          <w:rFonts w:ascii="Times New Roman" w:hAnsi="Times New Roman" w:cs="Times New Roman"/>
        </w:rPr>
        <w:t>rebalancace</w:t>
      </w:r>
      <w:proofErr w:type="spellEnd"/>
      <w:r w:rsidRPr="00A82795">
        <w:rPr>
          <w:rFonts w:ascii="Times New Roman" w:hAnsi="Times New Roman" w:cs="Times New Roman"/>
        </w:rPr>
        <w:t xml:space="preserve"> a obnovení plné úrovně redundance bez zásahu administrátora.</w:t>
      </w:r>
    </w:p>
    <w:p w14:paraId="115AAE62" w14:textId="77777777" w:rsidR="00B55603" w:rsidRPr="00A82795" w:rsidRDefault="00B55603" w:rsidP="00B55603">
      <w:pPr>
        <w:pStyle w:val="normal11"/>
        <w:numPr>
          <w:ilvl w:val="0"/>
          <w:numId w:val="1"/>
        </w:numPr>
        <w:rPr>
          <w:rFonts w:ascii="Times New Roman" w:hAnsi="Times New Roman" w:cs="Times New Roman"/>
        </w:rPr>
      </w:pPr>
      <w:r w:rsidRPr="00A82795">
        <w:rPr>
          <w:rFonts w:ascii="Times New Roman" w:hAnsi="Times New Roman" w:cs="Times New Roman"/>
          <w:b/>
        </w:rPr>
        <w:t>Správa životního cyklu:</w:t>
      </w:r>
      <w:r w:rsidRPr="00A82795">
        <w:rPr>
          <w:rFonts w:ascii="Times New Roman" w:hAnsi="Times New Roman" w:cs="Times New Roman"/>
        </w:rPr>
        <w:br/>
        <w:t xml:space="preserve">Součástí řešení musí být nativní nástroj pro orchestraci aktualizací celého HCI </w:t>
      </w:r>
      <w:proofErr w:type="spellStart"/>
      <w:r w:rsidRPr="00A82795">
        <w:rPr>
          <w:rFonts w:ascii="Times New Roman" w:hAnsi="Times New Roman" w:cs="Times New Roman"/>
        </w:rPr>
        <w:t>appliance</w:t>
      </w:r>
      <w:proofErr w:type="spellEnd"/>
      <w:r w:rsidRPr="00A82795">
        <w:rPr>
          <w:rFonts w:ascii="Times New Roman" w:hAnsi="Times New Roman" w:cs="Times New Roman"/>
        </w:rPr>
        <w:t>, který automatizuje proces upgradu všech komponent (firmware, BIOS, ovladače, hypervisor i HCI vrstva) a provádí jejich kompatibilní aktualizace včetně předběžné validace.</w:t>
      </w:r>
    </w:p>
    <w:p w14:paraId="5EE0A956" w14:textId="77777777" w:rsidR="00B55603" w:rsidRPr="00A82795" w:rsidRDefault="00B55603" w:rsidP="00B55603">
      <w:pPr>
        <w:pStyle w:val="normal11"/>
        <w:numPr>
          <w:ilvl w:val="0"/>
          <w:numId w:val="1"/>
        </w:numPr>
        <w:rPr>
          <w:rFonts w:ascii="Times New Roman" w:hAnsi="Times New Roman" w:cs="Times New Roman"/>
        </w:rPr>
      </w:pPr>
      <w:r w:rsidRPr="00A82795">
        <w:rPr>
          <w:rFonts w:ascii="Times New Roman" w:hAnsi="Times New Roman" w:cs="Times New Roman"/>
          <w:b/>
        </w:rPr>
        <w:t>Oddělení zálohování:</w:t>
      </w:r>
      <w:r w:rsidRPr="00A82795">
        <w:rPr>
          <w:rFonts w:ascii="Times New Roman" w:hAnsi="Times New Roman" w:cs="Times New Roman"/>
        </w:rPr>
        <w:t xml:space="preserve"> Infrastruktura pro zálohování musí být fyzicky i logicky oddělena od produkčního HCI clusteru, s vlastní sadou serverů a úložiště, tak aby byla zajištěna maximální odolnost proti selhání, kybernetickým hrozbám a </w:t>
      </w:r>
      <w:proofErr w:type="spellStart"/>
      <w:r w:rsidRPr="00A82795">
        <w:rPr>
          <w:rFonts w:ascii="Times New Roman" w:hAnsi="Times New Roman" w:cs="Times New Roman"/>
        </w:rPr>
        <w:t>ransomwaru</w:t>
      </w:r>
      <w:proofErr w:type="spellEnd"/>
      <w:r w:rsidRPr="00A82795">
        <w:rPr>
          <w:rFonts w:ascii="Times New Roman" w:hAnsi="Times New Roman" w:cs="Times New Roman"/>
        </w:rPr>
        <w:t>.</w:t>
      </w:r>
    </w:p>
    <w:p w14:paraId="6BCD29DF" w14:textId="77777777" w:rsidR="00B55603" w:rsidRPr="00A82795" w:rsidRDefault="00B55603" w:rsidP="00B55603">
      <w:pPr>
        <w:pStyle w:val="normal11"/>
        <w:numPr>
          <w:ilvl w:val="0"/>
          <w:numId w:val="1"/>
        </w:numPr>
        <w:rPr>
          <w:rFonts w:ascii="Times New Roman" w:hAnsi="Times New Roman" w:cs="Times New Roman"/>
        </w:rPr>
      </w:pPr>
      <w:r w:rsidRPr="00A82795">
        <w:rPr>
          <w:rFonts w:ascii="Times New Roman" w:hAnsi="Times New Roman" w:cs="Times New Roman"/>
          <w:b/>
        </w:rPr>
        <w:t>Jednotná správa:</w:t>
      </w:r>
      <w:r w:rsidRPr="00A82795">
        <w:rPr>
          <w:rFonts w:ascii="Times New Roman" w:hAnsi="Times New Roman" w:cs="Times New Roman"/>
        </w:rPr>
        <w:t xml:space="preserve"> Celá platforma musí být plně integrovaná a spravována prostřednictvím jediného centralizovaného rozhraní, které pokrývá veškeré úrovně infrastruktury. Tento nástroj musí poskytovat monitoring, konfiguraci, správu </w:t>
      </w:r>
      <w:proofErr w:type="spellStart"/>
      <w:r w:rsidRPr="00A82795">
        <w:rPr>
          <w:rFonts w:ascii="Times New Roman" w:hAnsi="Times New Roman" w:cs="Times New Roman"/>
        </w:rPr>
        <w:t>appliance</w:t>
      </w:r>
      <w:proofErr w:type="spellEnd"/>
      <w:r w:rsidRPr="00A82795">
        <w:rPr>
          <w:rFonts w:ascii="Times New Roman" w:hAnsi="Times New Roman" w:cs="Times New Roman"/>
        </w:rPr>
        <w:t xml:space="preserve"> node a orchestraci aktualizací.</w:t>
      </w:r>
    </w:p>
    <w:p w14:paraId="38CC43DA" w14:textId="77777777" w:rsidR="00B55603" w:rsidRPr="00A82795" w:rsidRDefault="00B55603" w:rsidP="00B55603">
      <w:pPr>
        <w:pStyle w:val="normal11"/>
        <w:numPr>
          <w:ilvl w:val="0"/>
          <w:numId w:val="1"/>
        </w:numPr>
        <w:rPr>
          <w:rFonts w:ascii="Times New Roman" w:hAnsi="Times New Roman" w:cs="Times New Roman"/>
        </w:rPr>
      </w:pPr>
      <w:r w:rsidRPr="00A82795">
        <w:rPr>
          <w:rFonts w:ascii="Times New Roman" w:hAnsi="Times New Roman" w:cs="Times New Roman"/>
          <w:b/>
        </w:rPr>
        <w:t>Škálovatelnost:</w:t>
      </w:r>
      <w:r w:rsidRPr="00A82795">
        <w:rPr>
          <w:rFonts w:ascii="Times New Roman" w:hAnsi="Times New Roman" w:cs="Times New Roman"/>
        </w:rPr>
        <w:t xml:space="preserve"> Architektura musí umožňovat lineární škálování výpočetního výkonu a úložné kapacity přidáváním dalších </w:t>
      </w:r>
      <w:proofErr w:type="spellStart"/>
      <w:r w:rsidRPr="00A82795">
        <w:rPr>
          <w:rFonts w:ascii="Times New Roman" w:hAnsi="Times New Roman" w:cs="Times New Roman"/>
        </w:rPr>
        <w:t>appliance</w:t>
      </w:r>
      <w:proofErr w:type="spellEnd"/>
      <w:r w:rsidRPr="00A82795">
        <w:rPr>
          <w:rFonts w:ascii="Times New Roman" w:hAnsi="Times New Roman" w:cs="Times New Roman"/>
        </w:rPr>
        <w:t xml:space="preserve"> node bez odstávky systému a bez nutnosti manuálních úprav konfigurace úložiště nebo sítě.</w:t>
      </w:r>
    </w:p>
    <w:p w14:paraId="0F53D525" w14:textId="77777777" w:rsidR="00B55603" w:rsidRPr="00A82795" w:rsidRDefault="00B55603" w:rsidP="00B55603">
      <w:pPr>
        <w:pStyle w:val="normal11"/>
        <w:rPr>
          <w:rFonts w:ascii="Times New Roman" w:hAnsi="Times New Roman" w:cs="Times New Roman"/>
        </w:rPr>
      </w:pPr>
    </w:p>
    <w:p w14:paraId="1E24A2D7" w14:textId="77777777" w:rsidR="00B55603" w:rsidRPr="00A82795" w:rsidRDefault="00B55603" w:rsidP="00B55603">
      <w:pPr>
        <w:pStyle w:val="Nadpis3"/>
        <w:rPr>
          <w:b w:val="0"/>
        </w:rPr>
      </w:pPr>
      <w:r w:rsidRPr="00A82795">
        <w:t xml:space="preserve">3. </w:t>
      </w:r>
      <w:proofErr w:type="spellStart"/>
      <w:r w:rsidRPr="00A82795">
        <w:t>Hyperkonvergovaná</w:t>
      </w:r>
      <w:proofErr w:type="spellEnd"/>
      <w:r w:rsidRPr="00A82795">
        <w:t xml:space="preserve"> Platforma (HCI Cluster)</w:t>
      </w:r>
    </w:p>
    <w:tbl>
      <w:tblPr>
        <w:tblW w:w="1046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12"/>
        <w:gridCol w:w="7274"/>
        <w:gridCol w:w="1180"/>
      </w:tblGrid>
      <w:tr w:rsidR="00B55603" w:rsidRPr="00A82795" w14:paraId="75F339F1" w14:textId="77777777" w:rsidTr="00B66159">
        <w:tc>
          <w:tcPr>
            <w:tcW w:w="2012" w:type="dxa"/>
            <w:vAlign w:val="center"/>
          </w:tcPr>
          <w:p w14:paraId="7E87E6FF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Položka/Funkce</w:t>
            </w:r>
          </w:p>
        </w:tc>
        <w:tc>
          <w:tcPr>
            <w:tcW w:w="7274" w:type="dxa"/>
            <w:vAlign w:val="center"/>
          </w:tcPr>
          <w:p w14:paraId="3EB5BD1F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Detailní funkce</w:t>
            </w:r>
          </w:p>
        </w:tc>
        <w:tc>
          <w:tcPr>
            <w:tcW w:w="1180" w:type="dxa"/>
            <w:vAlign w:val="center"/>
          </w:tcPr>
          <w:p w14:paraId="5D252B19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ANO/NE</w:t>
            </w:r>
          </w:p>
        </w:tc>
      </w:tr>
      <w:tr w:rsidR="00B55603" w:rsidRPr="00A82795" w14:paraId="7C220B38" w14:textId="77777777" w:rsidTr="00B66159">
        <w:tc>
          <w:tcPr>
            <w:tcW w:w="2012" w:type="dxa"/>
            <w:vAlign w:val="center"/>
          </w:tcPr>
          <w:p w14:paraId="0F02C6E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Architektura</w:t>
            </w:r>
          </w:p>
        </w:tc>
        <w:tc>
          <w:tcPr>
            <w:tcW w:w="7274" w:type="dxa"/>
            <w:vAlign w:val="center"/>
          </w:tcPr>
          <w:p w14:paraId="7895DC4A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Řešení musí být tvořeno minimálně čtyřmi identickými fyzickými servery sdruženými do jednoho funkčního clusteru. Všechny servery musí být shodné co do použitého hardwaru a konfigurace tak, aby byla zajištěna plná kompatibilita a rovnoměrné rozložení zátěže v rámci celé platformy.</w:t>
            </w:r>
          </w:p>
        </w:tc>
        <w:tc>
          <w:tcPr>
            <w:tcW w:w="1180" w:type="dxa"/>
            <w:vAlign w:val="center"/>
          </w:tcPr>
          <w:p w14:paraId="2831088F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41A9E079" w14:textId="77777777" w:rsidTr="00B66159">
        <w:tc>
          <w:tcPr>
            <w:tcW w:w="2012" w:type="dxa"/>
            <w:vAlign w:val="center"/>
          </w:tcPr>
          <w:p w14:paraId="4115692A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Redundance</w:t>
            </w:r>
          </w:p>
        </w:tc>
        <w:tc>
          <w:tcPr>
            <w:tcW w:w="7274" w:type="dxa"/>
            <w:vAlign w:val="center"/>
          </w:tcPr>
          <w:p w14:paraId="6D7059FB" w14:textId="77777777" w:rsidR="00B55603" w:rsidRPr="00A82795" w:rsidRDefault="00B55603" w:rsidP="00B66159">
            <w:pPr>
              <w:pStyle w:val="normal11"/>
              <w:spacing w:after="140" w:line="276" w:lineRule="auto"/>
              <w:rPr>
                <w:rFonts w:ascii="Times New Roman" w:hAnsi="Times New Roman" w:cs="Times New Roman"/>
                <w:color w:val="000000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 xml:space="preserve">Cluster musí zajišťovat minimálně úroveň redundance N+1 jak pro výpočetní, tak i pro úložné zdroje. Uložená data musí být chráněna tak, aby bylo možné přežít výpadek alespoň jednoho celého serveru bez ztráty dat a aby došlo k automatickému obnovení a automatické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rebalancování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dat do plné úrovně redundance po obnovení provozu.</w:t>
            </w:r>
          </w:p>
        </w:tc>
        <w:tc>
          <w:tcPr>
            <w:tcW w:w="1180" w:type="dxa"/>
            <w:vAlign w:val="center"/>
          </w:tcPr>
          <w:p w14:paraId="0A38D757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424BB1F8" w14:textId="77777777" w:rsidTr="00B66159">
        <w:tc>
          <w:tcPr>
            <w:tcW w:w="2012" w:type="dxa"/>
            <w:vAlign w:val="center"/>
          </w:tcPr>
          <w:p w14:paraId="2D1560D1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proofErr w:type="spellStart"/>
            <w:r w:rsidRPr="00A82795">
              <w:rPr>
                <w:rFonts w:ascii="Times New Roman" w:hAnsi="Times New Roman" w:cs="Times New Roman"/>
              </w:rPr>
              <w:lastRenderedPageBreak/>
              <w:t>Lifecycle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Management</w:t>
            </w:r>
          </w:p>
        </w:tc>
        <w:tc>
          <w:tcPr>
            <w:tcW w:w="7274" w:type="dxa"/>
            <w:vAlign w:val="center"/>
          </w:tcPr>
          <w:p w14:paraId="28300A1E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Řešení musí zahrnovat nástroj umožňující automatizované a koordinované provádění aktualizací celého technologického celku, včetně firmwaru, systému BIOS, ovladačů, hypervisoru a softwaru pro HCI.</w:t>
            </w:r>
          </w:p>
          <w:p w14:paraId="5600F2B8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Tento nástroj musí minimalizovat provozní zátěž a riziko spojené s nasazováním aktualizací a zajistit bezpečný a konzistentní průběh celého procesu.</w:t>
            </w:r>
          </w:p>
        </w:tc>
        <w:tc>
          <w:tcPr>
            <w:tcW w:w="1180" w:type="dxa"/>
            <w:vAlign w:val="center"/>
          </w:tcPr>
          <w:p w14:paraId="7D6C642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</w:tbl>
    <w:p w14:paraId="6CF743BE" w14:textId="77777777" w:rsidR="00B55603" w:rsidRPr="00A82795" w:rsidRDefault="00B55603" w:rsidP="00B55603">
      <w:pPr>
        <w:pStyle w:val="normal11"/>
        <w:widowControl w:val="0"/>
        <w:spacing w:after="0" w:line="276" w:lineRule="auto"/>
        <w:rPr>
          <w:rFonts w:ascii="Times New Roman" w:hAnsi="Times New Roman" w:cs="Times New Roman"/>
        </w:rPr>
      </w:pPr>
    </w:p>
    <w:tbl>
      <w:tblPr>
        <w:tblW w:w="1046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92"/>
        <w:gridCol w:w="7394"/>
        <w:gridCol w:w="1180"/>
      </w:tblGrid>
      <w:tr w:rsidR="00B55603" w:rsidRPr="00A82795" w14:paraId="63264DA8" w14:textId="77777777" w:rsidTr="00B66159">
        <w:tc>
          <w:tcPr>
            <w:tcW w:w="1892" w:type="dxa"/>
            <w:vAlign w:val="center"/>
          </w:tcPr>
          <w:p w14:paraId="64EEC941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Položka/Funkce</w:t>
            </w:r>
          </w:p>
        </w:tc>
        <w:tc>
          <w:tcPr>
            <w:tcW w:w="7394" w:type="dxa"/>
            <w:vAlign w:val="center"/>
          </w:tcPr>
          <w:p w14:paraId="37ABBEEC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Detailní funkce</w:t>
            </w:r>
          </w:p>
        </w:tc>
        <w:tc>
          <w:tcPr>
            <w:tcW w:w="1180" w:type="dxa"/>
            <w:vAlign w:val="center"/>
          </w:tcPr>
          <w:p w14:paraId="52C82452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ANO/NE</w:t>
            </w:r>
          </w:p>
        </w:tc>
      </w:tr>
      <w:tr w:rsidR="00B55603" w:rsidRPr="00A82795" w14:paraId="6C40D69F" w14:textId="77777777" w:rsidTr="00B66159">
        <w:tc>
          <w:tcPr>
            <w:tcW w:w="1892" w:type="dxa"/>
            <w:vAlign w:val="center"/>
          </w:tcPr>
          <w:p w14:paraId="4F7E0723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Formát</w:t>
            </w:r>
          </w:p>
        </w:tc>
        <w:tc>
          <w:tcPr>
            <w:tcW w:w="7394" w:type="dxa"/>
            <w:vAlign w:val="center"/>
          </w:tcPr>
          <w:p w14:paraId="30E4B324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Požaduje se použití rackového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node v provedení 1U, určeného pro instalaci do standardního 19" datového rozvaděče.</w:t>
            </w:r>
          </w:p>
        </w:tc>
        <w:tc>
          <w:tcPr>
            <w:tcW w:w="1180" w:type="dxa"/>
            <w:vAlign w:val="center"/>
          </w:tcPr>
          <w:p w14:paraId="50B9355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4E3AFA75" w14:textId="77777777" w:rsidTr="00B66159">
        <w:tc>
          <w:tcPr>
            <w:tcW w:w="1892" w:type="dxa"/>
            <w:vAlign w:val="center"/>
          </w:tcPr>
          <w:p w14:paraId="0E76878D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CPU</w:t>
            </w:r>
          </w:p>
        </w:tc>
        <w:tc>
          <w:tcPr>
            <w:tcW w:w="7394" w:type="dxa"/>
            <w:vAlign w:val="center"/>
          </w:tcPr>
          <w:p w14:paraId="743AF460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 xml:space="preserve">Každý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node musí být vybaven alespoň jedním fyzickým procesorem s minimálně 32 fyzickými jádry. Výkon procesoru musí dosahovat hodnoty vyšší než 73 000 bodů v testu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PassMark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CPU Mark (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Multi-Thread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), přičemž tato hodnota musí být doložena výsledky potvrzenými minimálně pěti měřeními. </w:t>
            </w:r>
          </w:p>
          <w:p w14:paraId="14BE0402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 xml:space="preserve">Procesor musí být založen na moderní 5nm architektuře, podporovat instrukční sadu x86-64 AVX-512,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PCIe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Gen5 a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osmikanálový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řadič DDR5 s efektivní přenosovou rychlostí minimálně 5600 MT/s.</w:t>
            </w:r>
          </w:p>
          <w:p w14:paraId="58AC8163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 xml:space="preserve">Požaduje se konfigurace s jedním CPU soketem pro zajištění nižší latence a vyšší efektivity v rámci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80" w:type="dxa"/>
            <w:vAlign w:val="center"/>
          </w:tcPr>
          <w:p w14:paraId="6CECA9CC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675C5B73" w14:textId="77777777" w:rsidTr="00B66159">
        <w:tc>
          <w:tcPr>
            <w:tcW w:w="1892" w:type="dxa"/>
            <w:vAlign w:val="center"/>
          </w:tcPr>
          <w:p w14:paraId="47A74461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RAM</w:t>
            </w:r>
          </w:p>
        </w:tc>
        <w:tc>
          <w:tcPr>
            <w:tcW w:w="7394" w:type="dxa"/>
            <w:vAlign w:val="center"/>
          </w:tcPr>
          <w:p w14:paraId="76F709F6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Každý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node musí být osazen operační pamětí o kapacitě minimálně 384 GB typu DDR5 s efektivní přenosovou rychlostí nejméně 5600 MT/s. Požaduje se podpora funkcí ECC (</w:t>
            </w:r>
            <w:proofErr w:type="spellStart"/>
            <w:r w:rsidRPr="00A82795">
              <w:rPr>
                <w:rFonts w:ascii="Times New Roman" w:hAnsi="Times New Roman" w:cs="Times New Roman"/>
              </w:rPr>
              <w:t>Error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Correction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Code</w:t>
            </w:r>
            <w:proofErr w:type="spellEnd"/>
            <w:r w:rsidRPr="00A82795">
              <w:rPr>
                <w:rFonts w:ascii="Times New Roman" w:hAnsi="Times New Roman" w:cs="Times New Roman"/>
              </w:rPr>
              <w:t>) a firmware-level monitoringu pamětí v rámci nativního LCM nástroje HCI platformy.</w:t>
            </w:r>
          </w:p>
          <w:p w14:paraId="7E462291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Paměťová architektura musí využívat </w:t>
            </w:r>
            <w:proofErr w:type="spellStart"/>
            <w:r w:rsidRPr="00A82795">
              <w:rPr>
                <w:rFonts w:ascii="Times New Roman" w:hAnsi="Times New Roman" w:cs="Times New Roman"/>
              </w:rPr>
              <w:t>osmikanálový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řadič procesoru a být nakonfigurována tak, aby zajistila symetrické osazení všech paměťových kanálů a tím i maximální propustnost.</w:t>
            </w:r>
          </w:p>
        </w:tc>
        <w:tc>
          <w:tcPr>
            <w:tcW w:w="1180" w:type="dxa"/>
            <w:vAlign w:val="center"/>
          </w:tcPr>
          <w:p w14:paraId="63A90CC9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48D71471" w14:textId="77777777" w:rsidTr="00B66159">
        <w:tc>
          <w:tcPr>
            <w:tcW w:w="1892" w:type="dxa"/>
            <w:vAlign w:val="center"/>
          </w:tcPr>
          <w:p w14:paraId="5D2D4236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Úložiště (Data)</w:t>
            </w:r>
          </w:p>
        </w:tc>
        <w:tc>
          <w:tcPr>
            <w:tcW w:w="7394" w:type="dxa"/>
            <w:vAlign w:val="center"/>
          </w:tcPr>
          <w:p w14:paraId="2C51FFFD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Každý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node musí být vybaven minimálně pěti </w:t>
            </w:r>
            <w:proofErr w:type="spellStart"/>
            <w:r w:rsidRPr="00A82795">
              <w:rPr>
                <w:rFonts w:ascii="Times New Roman" w:hAnsi="Times New Roman" w:cs="Times New Roman"/>
              </w:rPr>
              <w:t>NVMe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SSD disky podnikové třídy s kapacitou alespoň 1,9 TB na disk, využívajícími rozhraní </w:t>
            </w:r>
            <w:proofErr w:type="gramStart"/>
            <w:r w:rsidRPr="00A82795">
              <w:rPr>
                <w:rFonts w:ascii="Times New Roman" w:hAnsi="Times New Roman" w:cs="Times New Roman"/>
              </w:rPr>
              <w:t>U.2  a</w:t>
            </w:r>
            <w:proofErr w:type="gramEnd"/>
            <w:r w:rsidRPr="00A82795">
              <w:rPr>
                <w:rFonts w:ascii="Times New Roman" w:hAnsi="Times New Roman" w:cs="Times New Roman"/>
              </w:rPr>
              <w:t xml:space="preserve"> podporujícími standard </w:t>
            </w:r>
            <w:proofErr w:type="spellStart"/>
            <w:r w:rsidRPr="00A82795">
              <w:rPr>
                <w:rFonts w:ascii="Times New Roman" w:hAnsi="Times New Roman" w:cs="Times New Roman"/>
              </w:rPr>
              <w:t>PCIe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Gen4 nebo vyšší. Celková surová kapacita SSD úložiště v rámci celého clusteru musí činit minimálně 38 TB.</w:t>
            </w:r>
          </w:p>
          <w:p w14:paraId="60D655BD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Architektura musí být založena na konceptu jednoúrovňového úložiště (single-</w:t>
            </w:r>
            <w:proofErr w:type="spellStart"/>
            <w:r w:rsidRPr="00A82795">
              <w:rPr>
                <w:rFonts w:ascii="Times New Roman" w:hAnsi="Times New Roman" w:cs="Times New Roman"/>
              </w:rPr>
              <w:t>tier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), kde jsou všechny disky využívány současně pro výkon i kapacitu, bez nutnosti dedikované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cache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vrstvy.</w:t>
            </w:r>
          </w:p>
        </w:tc>
        <w:tc>
          <w:tcPr>
            <w:tcW w:w="1180" w:type="dxa"/>
            <w:vAlign w:val="center"/>
          </w:tcPr>
          <w:p w14:paraId="19A422C8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1298ADF0" w14:textId="77777777" w:rsidTr="00B66159">
        <w:tc>
          <w:tcPr>
            <w:tcW w:w="1892" w:type="dxa"/>
            <w:vAlign w:val="center"/>
          </w:tcPr>
          <w:p w14:paraId="7E381F52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proofErr w:type="spellStart"/>
            <w:r w:rsidRPr="00A82795">
              <w:rPr>
                <w:rFonts w:ascii="Times New Roman" w:hAnsi="Times New Roman" w:cs="Times New Roman"/>
              </w:rPr>
              <w:t>Bootovací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zařízení</w:t>
            </w:r>
          </w:p>
        </w:tc>
        <w:tc>
          <w:tcPr>
            <w:tcW w:w="7394" w:type="dxa"/>
            <w:vAlign w:val="center"/>
          </w:tcPr>
          <w:p w14:paraId="4A1678AF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Každý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node musí být vybaven dedikovaným </w:t>
            </w:r>
            <w:proofErr w:type="spellStart"/>
            <w:r w:rsidRPr="00A82795">
              <w:rPr>
                <w:rFonts w:ascii="Times New Roman" w:hAnsi="Times New Roman" w:cs="Times New Roman"/>
              </w:rPr>
              <w:t>bootovacím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zařízením tvořeným dvojicí SSD disků, například ve formátu M.2, zapojených v hardwarovém režimu RAID 1. Celková kapacita tohoto zařízení musí být minimálně 480 GB a musí být plně nezávislé na datových discích využívaných pro provoz HCI úložiště.</w:t>
            </w:r>
          </w:p>
        </w:tc>
        <w:tc>
          <w:tcPr>
            <w:tcW w:w="1180" w:type="dxa"/>
            <w:vAlign w:val="center"/>
          </w:tcPr>
          <w:p w14:paraId="5B20C0FE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09267CF5" w14:textId="77777777" w:rsidTr="00B66159">
        <w:tc>
          <w:tcPr>
            <w:tcW w:w="1892" w:type="dxa"/>
            <w:vAlign w:val="center"/>
          </w:tcPr>
          <w:p w14:paraId="0655859D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Síťová konektivita</w:t>
            </w:r>
          </w:p>
        </w:tc>
        <w:tc>
          <w:tcPr>
            <w:tcW w:w="7394" w:type="dxa"/>
            <w:vAlign w:val="center"/>
          </w:tcPr>
          <w:p w14:paraId="19F39F12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Každý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node musí být vybaven minimálně čtyřmi síťovými porty s přenosovou rychlostí 100 </w:t>
            </w:r>
            <w:proofErr w:type="spellStart"/>
            <w:r w:rsidRPr="00A82795">
              <w:rPr>
                <w:rFonts w:ascii="Times New Roman" w:hAnsi="Times New Roman" w:cs="Times New Roman"/>
              </w:rPr>
              <w:t>Gb</w:t>
            </w:r>
            <w:proofErr w:type="spellEnd"/>
            <w:r w:rsidRPr="00A82795">
              <w:rPr>
                <w:rFonts w:ascii="Times New Roman" w:hAnsi="Times New Roman" w:cs="Times New Roman"/>
              </w:rPr>
              <w:t>/s, například prostřednictvím dvou duálních síťových adaptérů.</w:t>
            </w:r>
          </w:p>
          <w:p w14:paraId="322A3082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Tyto adaptéry musí podporovat technologii RDMA </w:t>
            </w:r>
            <w:proofErr w:type="spellStart"/>
            <w:r w:rsidRPr="00A82795">
              <w:rPr>
                <w:rFonts w:ascii="Times New Roman" w:hAnsi="Times New Roman" w:cs="Times New Roman"/>
              </w:rPr>
              <w:t>over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Converged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Ethernet v2 (</w:t>
            </w:r>
            <w:proofErr w:type="spellStart"/>
            <w:r w:rsidRPr="00A82795">
              <w:rPr>
                <w:rFonts w:ascii="Times New Roman" w:hAnsi="Times New Roman" w:cs="Times New Roman"/>
              </w:rPr>
              <w:t>RoCE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v2), Data Center </w:t>
            </w:r>
            <w:proofErr w:type="spellStart"/>
            <w:r w:rsidRPr="00A82795">
              <w:rPr>
                <w:rFonts w:ascii="Times New Roman" w:hAnsi="Times New Roman" w:cs="Times New Roman"/>
              </w:rPr>
              <w:t>Bridging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(DCB) včetně funkcí Priority </w:t>
            </w:r>
            <w:proofErr w:type="spellStart"/>
            <w:r w:rsidRPr="00A82795">
              <w:rPr>
                <w:rFonts w:ascii="Times New Roman" w:hAnsi="Times New Roman" w:cs="Times New Roman"/>
              </w:rPr>
              <w:t>Flow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Control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(PFC) a Explicit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Congestion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Notification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(ECN), a musí umožňovat bezztrátový provoz nezbytný pro </w:t>
            </w:r>
            <w:proofErr w:type="spellStart"/>
            <w:r w:rsidRPr="00A82795">
              <w:rPr>
                <w:rFonts w:ascii="Times New Roman" w:hAnsi="Times New Roman" w:cs="Times New Roman"/>
              </w:rPr>
              <w:t>nízkolatenční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komunikaci v rámci HCI úložiště.</w:t>
            </w:r>
          </w:p>
          <w:p w14:paraId="1793C332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Dále musí podporovat hardwarové akcelerace a </w:t>
            </w:r>
            <w:proofErr w:type="spellStart"/>
            <w:r w:rsidRPr="00A82795">
              <w:rPr>
                <w:rFonts w:ascii="Times New Roman" w:hAnsi="Times New Roman" w:cs="Times New Roman"/>
              </w:rPr>
              <w:t>offload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funkce pro virtualizační prostředí, jako jsou SR-IOV, VXLAN a </w:t>
            </w:r>
            <w:proofErr w:type="spellStart"/>
            <w:r w:rsidRPr="00A82795">
              <w:rPr>
                <w:rFonts w:ascii="Times New Roman" w:hAnsi="Times New Roman" w:cs="Times New Roman"/>
              </w:rPr>
              <w:t>Geneve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. Každý node musí být současně </w:t>
            </w:r>
            <w:r w:rsidRPr="00A82795">
              <w:rPr>
                <w:rFonts w:ascii="Times New Roman" w:hAnsi="Times New Roman" w:cs="Times New Roman"/>
              </w:rPr>
              <w:lastRenderedPageBreak/>
              <w:t xml:space="preserve">vybaven minimálně dvěma síťovými porty s přenosovou rychlostí 1 </w:t>
            </w:r>
            <w:proofErr w:type="spellStart"/>
            <w:r w:rsidRPr="00A82795">
              <w:rPr>
                <w:rFonts w:ascii="Times New Roman" w:hAnsi="Times New Roman" w:cs="Times New Roman"/>
              </w:rPr>
              <w:t>Gb</w:t>
            </w:r>
            <w:proofErr w:type="spellEnd"/>
            <w:r w:rsidRPr="00A82795">
              <w:rPr>
                <w:rFonts w:ascii="Times New Roman" w:hAnsi="Times New Roman" w:cs="Times New Roman"/>
              </w:rPr>
              <w:t>/s určenými pro management a servisní účely.</w:t>
            </w:r>
          </w:p>
        </w:tc>
        <w:tc>
          <w:tcPr>
            <w:tcW w:w="1180" w:type="dxa"/>
            <w:vAlign w:val="center"/>
          </w:tcPr>
          <w:p w14:paraId="1AB41215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4FDA9398" w14:textId="77777777" w:rsidTr="00B66159">
        <w:tc>
          <w:tcPr>
            <w:tcW w:w="1892" w:type="dxa"/>
            <w:vAlign w:val="center"/>
          </w:tcPr>
          <w:p w14:paraId="249487DD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Vzdálená správa</w:t>
            </w:r>
          </w:p>
        </w:tc>
        <w:tc>
          <w:tcPr>
            <w:tcW w:w="7394" w:type="dxa"/>
            <w:vAlign w:val="center"/>
          </w:tcPr>
          <w:p w14:paraId="712D0059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Každý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node musí být vybaven plnohodnotným řadičem pro vzdálenou správu s dedikovaným síťovým portem, který zajišťuje kompletní out-</w:t>
            </w:r>
            <w:proofErr w:type="spellStart"/>
            <w:r w:rsidRPr="00A82795">
              <w:rPr>
                <w:rFonts w:ascii="Times New Roman" w:hAnsi="Times New Roman" w:cs="Times New Roman"/>
              </w:rPr>
              <w:t>of</w:t>
            </w:r>
            <w:proofErr w:type="spellEnd"/>
            <w:r w:rsidRPr="00A82795">
              <w:rPr>
                <w:rFonts w:ascii="Times New Roman" w:hAnsi="Times New Roman" w:cs="Times New Roman"/>
              </w:rPr>
              <w:t>-band přístup k zařízení nezávisle na stavu operačního systému.</w:t>
            </w:r>
          </w:p>
          <w:p w14:paraId="66735914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Řadič musí poskytovat plnohodnotné HTML5 rozhraní pro vzdálenou konzoli a správu, podporovat automatizované aktualizace firmwaru prostřednictvím nativního nástroje pro správu životního cyklu (LCM) v rámci HCI platformy a umožňovat integraci do centrálního systému monitoringu a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alertingu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0" w:type="dxa"/>
            <w:vAlign w:val="center"/>
          </w:tcPr>
          <w:p w14:paraId="722D531E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01C7250F" w14:textId="77777777" w:rsidTr="00B66159">
        <w:tc>
          <w:tcPr>
            <w:tcW w:w="1892" w:type="dxa"/>
            <w:vAlign w:val="center"/>
          </w:tcPr>
          <w:p w14:paraId="0F5D0510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Napájení</w:t>
            </w:r>
          </w:p>
        </w:tc>
        <w:tc>
          <w:tcPr>
            <w:tcW w:w="7394" w:type="dxa"/>
            <w:vAlign w:val="center"/>
          </w:tcPr>
          <w:p w14:paraId="7E97FE4A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Každý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node musí být vybaven dvěma redundantními hot-swap napájecími zdroji, z nichž každý musí dosahovat účinnosti minimálně na úrovni 80 PLUS </w:t>
            </w:r>
            <w:proofErr w:type="spellStart"/>
            <w:r w:rsidRPr="00A82795">
              <w:rPr>
                <w:rFonts w:ascii="Times New Roman" w:hAnsi="Times New Roman" w:cs="Times New Roman"/>
              </w:rPr>
              <w:t>Titanium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. Tyto napájecí zdroje musí být plně podporovány nástrojem pro správu životního cyklu (LCM) v rámci HCI platformy, aby bylo možné provádět jejich firmware aktualizace a sledovat stav prostřednictvím centrální správy. </w:t>
            </w:r>
          </w:p>
          <w:p w14:paraId="28036807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Dále se požaduje podpora telemetrie spotřeby energie a možnost integrace s nástroji pro správu infrastruktury, umožňující optimalizaci výkonu, energetické účinnosti a kapacitního plánování datového centra.</w:t>
            </w:r>
          </w:p>
        </w:tc>
        <w:tc>
          <w:tcPr>
            <w:tcW w:w="1180" w:type="dxa"/>
            <w:vAlign w:val="center"/>
          </w:tcPr>
          <w:p w14:paraId="25BA93DC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</w:tbl>
    <w:p w14:paraId="4FE56486" w14:textId="77777777" w:rsidR="00B55603" w:rsidRPr="00A82795" w:rsidRDefault="00B55603" w:rsidP="00B55603">
      <w:pPr>
        <w:pStyle w:val="normal11"/>
        <w:widowControl w:val="0"/>
        <w:spacing w:after="0" w:line="276" w:lineRule="auto"/>
        <w:rPr>
          <w:rFonts w:ascii="Times New Roman" w:hAnsi="Times New Roman" w:cs="Times New Roman"/>
        </w:rPr>
      </w:pPr>
    </w:p>
    <w:tbl>
      <w:tblPr>
        <w:tblW w:w="1046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7194"/>
        <w:gridCol w:w="1180"/>
      </w:tblGrid>
      <w:tr w:rsidR="00B55603" w:rsidRPr="00A82795" w14:paraId="4566F592" w14:textId="77777777" w:rsidTr="00B66159">
        <w:tc>
          <w:tcPr>
            <w:tcW w:w="2092" w:type="dxa"/>
            <w:vAlign w:val="center"/>
          </w:tcPr>
          <w:p w14:paraId="2E4E4BBD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Položka/Funkce</w:t>
            </w:r>
          </w:p>
        </w:tc>
        <w:tc>
          <w:tcPr>
            <w:tcW w:w="7194" w:type="dxa"/>
            <w:vAlign w:val="center"/>
          </w:tcPr>
          <w:p w14:paraId="0CBC6116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Detailní funkce</w:t>
            </w:r>
          </w:p>
        </w:tc>
        <w:tc>
          <w:tcPr>
            <w:tcW w:w="1180" w:type="dxa"/>
            <w:vAlign w:val="center"/>
          </w:tcPr>
          <w:p w14:paraId="31E55126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ANO/NE</w:t>
            </w:r>
          </w:p>
        </w:tc>
      </w:tr>
      <w:tr w:rsidR="00B55603" w:rsidRPr="00A82795" w14:paraId="09117A78" w14:textId="77777777" w:rsidTr="00B66159">
        <w:tc>
          <w:tcPr>
            <w:tcW w:w="2092" w:type="dxa"/>
            <w:vAlign w:val="center"/>
          </w:tcPr>
          <w:p w14:paraId="19E7C8E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Architektura úložiště</w:t>
            </w:r>
          </w:p>
        </w:tc>
        <w:tc>
          <w:tcPr>
            <w:tcW w:w="7194" w:type="dxa"/>
            <w:vAlign w:val="center"/>
          </w:tcPr>
          <w:p w14:paraId="6C13A1E8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Úložiště musí být realizováno jako plně softwarově definovaná, škálovatelná a vysoce dostupná platforma, nativně integrovaná s dodávaným HCI řešením a optimalizovaná pro provoz na infrastruktuře typu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all-NVMe</w:t>
            </w:r>
            <w:proofErr w:type="spellEnd"/>
            <w:r w:rsidRPr="00A82795">
              <w:rPr>
                <w:rFonts w:ascii="Times New Roman" w:hAnsi="Times New Roman" w:cs="Times New Roman"/>
              </w:rPr>
              <w:t>. Architektura úložiště musí být založena na single-</w:t>
            </w:r>
            <w:proofErr w:type="spellStart"/>
            <w:r w:rsidRPr="00A82795">
              <w:rPr>
                <w:rFonts w:ascii="Times New Roman" w:hAnsi="Times New Roman" w:cs="Times New Roman"/>
              </w:rPr>
              <w:t>tier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konceptu bez použití dedikovaného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cache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tieru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, přičemž všechny disky musí být současně využívány jak pro výkon, tak pro kapacitu. </w:t>
            </w:r>
          </w:p>
          <w:p w14:paraId="48372682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Systém musí zajišťovat konzistentní výkon i při lineárním škálování kapacity a propustnosti, umožňovat automatickou obnovu redundance po výpadku komponenty a poskytovat odolnost vůči výpadku minimálně jednoho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nodu bez ztráty dat. Součástí musí být mechanismy pro online údržbu, </w:t>
            </w:r>
            <w:proofErr w:type="spellStart"/>
            <w:r w:rsidRPr="00A82795">
              <w:rPr>
                <w:rFonts w:ascii="Times New Roman" w:hAnsi="Times New Roman" w:cs="Times New Roman"/>
              </w:rPr>
              <w:t>rolling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aktualizace a </w:t>
            </w:r>
            <w:proofErr w:type="spellStart"/>
            <w:r w:rsidRPr="00A82795">
              <w:rPr>
                <w:rFonts w:ascii="Times New Roman" w:hAnsi="Times New Roman" w:cs="Times New Roman"/>
              </w:rPr>
              <w:t>samoléčící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procesy, které zajistí kontinuitu provozu bez nutnosti odstávky nebo manuálního zásahu administrátora.</w:t>
            </w:r>
          </w:p>
        </w:tc>
        <w:tc>
          <w:tcPr>
            <w:tcW w:w="1180" w:type="dxa"/>
            <w:vAlign w:val="center"/>
          </w:tcPr>
          <w:p w14:paraId="06CD325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5AB7646A" w14:textId="77777777" w:rsidTr="00B66159">
        <w:tc>
          <w:tcPr>
            <w:tcW w:w="2092" w:type="dxa"/>
            <w:vAlign w:val="center"/>
          </w:tcPr>
          <w:p w14:paraId="7E9403EA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Funkce pro úsporu dat</w:t>
            </w:r>
          </w:p>
        </w:tc>
        <w:tc>
          <w:tcPr>
            <w:tcW w:w="7194" w:type="dxa"/>
            <w:vAlign w:val="center"/>
          </w:tcPr>
          <w:p w14:paraId="0F671C4D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Úložiště musí nativně podporovat pokročilé mechanismy pro úsporu dat, zejména inline </w:t>
            </w:r>
            <w:proofErr w:type="spellStart"/>
            <w:r w:rsidRPr="00A82795">
              <w:rPr>
                <w:rFonts w:ascii="Times New Roman" w:hAnsi="Times New Roman" w:cs="Times New Roman"/>
              </w:rPr>
              <w:t>deduplikaci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a kompresi, které jsou aplikovány v reálném čase a působí na úrovni celého clusteru. Tyto funkce musí být plně integrovány do HCI vrstvy a fungovat transparentně vůči virtualizační platformě, bez nutnosti samostatné konfigurace.</w:t>
            </w:r>
          </w:p>
          <w:p w14:paraId="01B565D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Mechanismy úspory dat nesmí mít negativní dopad na výkon, dostupnost ani integritu uložených dat a musí být automaticky řízeny systémem podle aktuální zátěže. Aktivace, správa i monitoring těchto funkcí musí být zajištěny prostřednictvím centrálního nástroje HCI platformy, který zároveň poskytne přehled o efektivitě a reporty dosažených úspor.</w:t>
            </w:r>
          </w:p>
        </w:tc>
        <w:tc>
          <w:tcPr>
            <w:tcW w:w="1180" w:type="dxa"/>
            <w:vAlign w:val="center"/>
          </w:tcPr>
          <w:p w14:paraId="271138A9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5793AD9F" w14:textId="77777777" w:rsidTr="00B66159">
        <w:tc>
          <w:tcPr>
            <w:tcW w:w="2092" w:type="dxa"/>
            <w:vAlign w:val="center"/>
          </w:tcPr>
          <w:p w14:paraId="4894301E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Ochrana dat</w:t>
            </w:r>
          </w:p>
        </w:tc>
        <w:tc>
          <w:tcPr>
            <w:tcW w:w="7194" w:type="dxa"/>
            <w:vAlign w:val="center"/>
          </w:tcPr>
          <w:p w14:paraId="7806C12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Ochrana dat musí být zajištěna prostřednictvím softwarově definovaných mechanismů integrovaných na úrovni HCI platformy, nikoli pomocí hardwarových RAID řadičů. Systém musí podporovat více režimů ochrany dat, včetně </w:t>
            </w:r>
            <w:proofErr w:type="spellStart"/>
            <w:r w:rsidRPr="00A82795">
              <w:rPr>
                <w:rFonts w:ascii="Times New Roman" w:hAnsi="Times New Roman" w:cs="Times New Roman"/>
              </w:rPr>
              <w:t>mirroringu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82795">
              <w:rPr>
                <w:rFonts w:ascii="Times New Roman" w:hAnsi="Times New Roman" w:cs="Times New Roman"/>
              </w:rPr>
              <w:t>erasure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codingu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(např. odpovídajících úrovním RAID 5/6), které jsou aplikovány napříč fyzickými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nody v clusteru.</w:t>
            </w:r>
          </w:p>
          <w:p w14:paraId="362D7965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Musí být zajištěna odolnost vůči výpadku minimálně jednoho celého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nodu bez ztráty dat. Po obnovení funkce daného nodu musí systém </w:t>
            </w:r>
            <w:r w:rsidRPr="00A82795">
              <w:rPr>
                <w:rFonts w:ascii="Times New Roman" w:hAnsi="Times New Roman" w:cs="Times New Roman"/>
              </w:rPr>
              <w:lastRenderedPageBreak/>
              <w:t>automaticky rekonstruovat chybějící repliky a obnovit plnou úroveň ochrany bez nutnosti zásahu administrátora.</w:t>
            </w:r>
          </w:p>
          <w:p w14:paraId="0996EB64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Úroveň ochrany dat musí být konfigurovatelná individuálně pro jednotlivé virtuální stroje nebo pro datové celky prostřednictvím politik úložiště. Systém musí zajišťovat </w:t>
            </w:r>
            <w:proofErr w:type="spellStart"/>
            <w:r w:rsidRPr="00A82795">
              <w:rPr>
                <w:rFonts w:ascii="Times New Roman" w:hAnsi="Times New Roman" w:cs="Times New Roman"/>
              </w:rPr>
              <w:t>samoléčící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chování, automatickou </w:t>
            </w:r>
            <w:proofErr w:type="spellStart"/>
            <w:r w:rsidRPr="00A82795">
              <w:rPr>
                <w:rFonts w:ascii="Times New Roman" w:hAnsi="Times New Roman" w:cs="Times New Roman"/>
              </w:rPr>
              <w:t>rebalanci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a rovnoměrné rozložení dat v rámci clusteru s cílem optimalizovat výkon, dostupnost a efektivní využití kapacity.</w:t>
            </w:r>
          </w:p>
        </w:tc>
        <w:tc>
          <w:tcPr>
            <w:tcW w:w="1180" w:type="dxa"/>
            <w:vAlign w:val="center"/>
          </w:tcPr>
          <w:p w14:paraId="7DD10AAE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3F76693D" w14:textId="77777777" w:rsidTr="00B66159">
        <w:tc>
          <w:tcPr>
            <w:tcW w:w="2092" w:type="dxa"/>
            <w:vAlign w:val="center"/>
          </w:tcPr>
          <w:p w14:paraId="577882B4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Integrace s virtualizací</w:t>
            </w:r>
          </w:p>
        </w:tc>
        <w:tc>
          <w:tcPr>
            <w:tcW w:w="7194" w:type="dxa"/>
            <w:vAlign w:val="center"/>
          </w:tcPr>
          <w:p w14:paraId="453B1A58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Úložiště musí být plně integrováno s virtualizační platformou a poskytovat nativní podporu úložných operací prostřednictvím rozhraní API a politik řízení úložiště. Běžné operace, jako je vytváření a klonování virtuálních disků, práce se </w:t>
            </w:r>
            <w:proofErr w:type="spellStart"/>
            <w:r w:rsidRPr="00A82795">
              <w:rPr>
                <w:rFonts w:ascii="Times New Roman" w:hAnsi="Times New Roman" w:cs="Times New Roman"/>
              </w:rPr>
              <w:t>snapshoty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nebo migrace dat, musí být zpracovávány efektivně přímo na úrovni úložné vrstvy HCI systému, s minimalizovaným dopadem na výpočetní zdroje a bez nutnosti hlubšího zásahu administrátora.</w:t>
            </w:r>
          </w:p>
          <w:p w14:paraId="076E6B7A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Systém musí podporovat </w:t>
            </w:r>
            <w:proofErr w:type="spellStart"/>
            <w:r w:rsidRPr="00A82795">
              <w:rPr>
                <w:rFonts w:ascii="Times New Roman" w:hAnsi="Times New Roman" w:cs="Times New Roman"/>
              </w:rPr>
              <w:t>policy-based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storage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management, který umožní definovat a aplikovat politiky výkonu, ochrany a dostupnosti na úrovni jednotlivých virtuálních strojů nebo i celých datových objemů. Veškerá správa, monitoring a konfigurace úložiště musí být plně integrovány do centrálního rozhraní pro správu virtualizační platformy, aniž by bylo vyžadováno samostatné rozhraní nebo nástroj pro správu </w:t>
            </w:r>
            <w:proofErr w:type="spellStart"/>
            <w:r w:rsidRPr="00A82795">
              <w:rPr>
                <w:rFonts w:ascii="Times New Roman" w:hAnsi="Times New Roman" w:cs="Times New Roman"/>
              </w:rPr>
              <w:t>storage</w:t>
            </w:r>
            <w:proofErr w:type="spellEnd"/>
            <w:r w:rsidRPr="00A827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0" w:type="dxa"/>
            <w:vAlign w:val="center"/>
          </w:tcPr>
          <w:p w14:paraId="321DE211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</w:tbl>
    <w:p w14:paraId="3CB01271" w14:textId="77777777" w:rsidR="00B55603" w:rsidRPr="00A82795" w:rsidRDefault="00B55603" w:rsidP="00B55603">
      <w:pPr>
        <w:pStyle w:val="normal11"/>
        <w:rPr>
          <w:rFonts w:ascii="Times New Roman" w:hAnsi="Times New Roman" w:cs="Times New Roman"/>
        </w:rPr>
      </w:pPr>
    </w:p>
    <w:p w14:paraId="49C04541" w14:textId="77777777" w:rsidR="00B55603" w:rsidRPr="00A82795" w:rsidRDefault="00B55603" w:rsidP="00B55603">
      <w:pPr>
        <w:pStyle w:val="Nadpis3"/>
      </w:pPr>
      <w:r w:rsidRPr="00A82795">
        <w:t>4. Virtualizační a Systémový Software</w:t>
      </w:r>
    </w:p>
    <w:tbl>
      <w:tblPr>
        <w:tblW w:w="1046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7360"/>
        <w:gridCol w:w="1180"/>
      </w:tblGrid>
      <w:tr w:rsidR="00B55603" w:rsidRPr="00A82795" w14:paraId="2FDB798E" w14:textId="77777777" w:rsidTr="00B66159">
        <w:tc>
          <w:tcPr>
            <w:tcW w:w="1926" w:type="dxa"/>
            <w:vAlign w:val="center"/>
          </w:tcPr>
          <w:p w14:paraId="702D9E09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Položka/Funkce</w:t>
            </w:r>
          </w:p>
        </w:tc>
        <w:tc>
          <w:tcPr>
            <w:tcW w:w="7360" w:type="dxa"/>
            <w:vAlign w:val="center"/>
          </w:tcPr>
          <w:p w14:paraId="2114ADCA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Detailní funkce</w:t>
            </w:r>
          </w:p>
        </w:tc>
        <w:tc>
          <w:tcPr>
            <w:tcW w:w="1180" w:type="dxa"/>
            <w:vAlign w:val="center"/>
          </w:tcPr>
          <w:p w14:paraId="315BF53A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ANO/NE</w:t>
            </w:r>
          </w:p>
        </w:tc>
      </w:tr>
      <w:tr w:rsidR="00B55603" w:rsidRPr="00A82795" w14:paraId="76A1F03A" w14:textId="77777777" w:rsidTr="00B66159">
        <w:tc>
          <w:tcPr>
            <w:tcW w:w="1926" w:type="dxa"/>
            <w:vAlign w:val="center"/>
          </w:tcPr>
          <w:p w14:paraId="11D2FB01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Virtualizační platforma</w:t>
            </w:r>
          </w:p>
        </w:tc>
        <w:tc>
          <w:tcPr>
            <w:tcW w:w="7360" w:type="dxa"/>
            <w:vAlign w:val="center"/>
          </w:tcPr>
          <w:p w14:paraId="65F4149A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Licence musí pokrývat všechny fyzické procesory v rámci HCI clusteru a musí zahrnovat virtualizační platformu poskytující kompletní sadu funkcí pro provoz v podnikovém prostředí. Platforma musí zajišťovat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clusterové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řízení s vysokou dostupností (HA), včetně automatického restartování virtuálních strojů při výpadku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nodu, dynamické plánování a rozložení zátěže mezi jednotlivými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nody, živou migraci běžících virtuálních strojů bez přerušení provozu a živou migraci virtuálních disků v rámci HCI úložiště.</w:t>
            </w:r>
          </w:p>
          <w:p w14:paraId="5FC73D79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Součástí musí být plně integrované softwarově definované úložiště (HCI </w:t>
            </w:r>
            <w:proofErr w:type="spellStart"/>
            <w:r w:rsidRPr="00A82795">
              <w:rPr>
                <w:rFonts w:ascii="Times New Roman" w:hAnsi="Times New Roman" w:cs="Times New Roman"/>
              </w:rPr>
              <w:t>storage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), které umožní vytvoření sdíleného datového prostoru z lokálních disků všech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nodů, a správa úložiště pomocí politik (</w:t>
            </w:r>
            <w:proofErr w:type="spellStart"/>
            <w:r w:rsidRPr="00A82795">
              <w:rPr>
                <w:rFonts w:ascii="Times New Roman" w:hAnsi="Times New Roman" w:cs="Times New Roman"/>
              </w:rPr>
              <w:t>policy-based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management) s možností definovat úroveň ochrany, výkonu a dostupnosti pro jednotlivé virtuální stroje.</w:t>
            </w:r>
          </w:p>
          <w:p w14:paraId="798E2983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Virtualizační platforma musí dále poskytovat centralizovanou správu celé infrastruktury prostřednictvím jednotného rozhraní zahrnujícího výpočetní, úložnou i síťovou vrstvu, a také integrované nástroje pro monitoring, reporting a plánování kapacity dostupné přímo v rámci platformy.</w:t>
            </w:r>
          </w:p>
          <w:p w14:paraId="5DDB8FA2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Celé řešení musí být dodáno jako jednotná HCI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, ve které je virtualizační platforma nativní součástí systému s garantovanou kompatibilitou a podporou všech vrstev, hardwarové, </w:t>
            </w:r>
            <w:proofErr w:type="spellStart"/>
            <w:r w:rsidRPr="00A82795">
              <w:rPr>
                <w:rFonts w:ascii="Times New Roman" w:hAnsi="Times New Roman" w:cs="Times New Roman"/>
              </w:rPr>
              <w:t>hypervizorové</w:t>
            </w:r>
            <w:proofErr w:type="spellEnd"/>
            <w:r w:rsidRPr="00A82795">
              <w:rPr>
                <w:rFonts w:ascii="Times New Roman" w:hAnsi="Times New Roman" w:cs="Times New Roman"/>
              </w:rPr>
              <w:t>, úložné i řídicí.</w:t>
            </w:r>
          </w:p>
        </w:tc>
        <w:tc>
          <w:tcPr>
            <w:tcW w:w="1180" w:type="dxa"/>
            <w:vAlign w:val="center"/>
          </w:tcPr>
          <w:p w14:paraId="4B221C3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4BAB6615" w14:textId="77777777" w:rsidTr="00B66159">
        <w:tc>
          <w:tcPr>
            <w:tcW w:w="1926" w:type="dxa"/>
            <w:vAlign w:val="center"/>
          </w:tcPr>
          <w:p w14:paraId="3D89D762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Licenční model</w:t>
            </w:r>
          </w:p>
        </w:tc>
        <w:tc>
          <w:tcPr>
            <w:tcW w:w="7360" w:type="dxa"/>
            <w:vAlign w:val="center"/>
          </w:tcPr>
          <w:p w14:paraId="6C189D3F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Licence musí být dodány formou předplatného, které pokrývá celé HCI řešení, včetně virtualizační platformy, HCI úložiště, nástrojů pro správu a monitoringu a plné technické podpory výrobce. Licencování musí být založeno na počtu fyzických procesorů ve všech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nodech a musí umožňovat jednotnou správu všech komponent prostřednictvím centrálního rozhraní, automatizované aktualizace celého softwarového </w:t>
            </w:r>
            <w:proofErr w:type="spellStart"/>
            <w:r w:rsidRPr="00A82795">
              <w:rPr>
                <w:rFonts w:ascii="Times New Roman" w:hAnsi="Times New Roman" w:cs="Times New Roman"/>
              </w:rPr>
              <w:t>stacku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zahrnujícího hypervizor, úložiště, nástroje pro správu a monitoring v rámci jednoho balíku, přístup k validovaným aktualizačním balíčkům a bezpečnostním opravám po celou dobu trvání </w:t>
            </w:r>
            <w:r w:rsidRPr="00A82795">
              <w:rPr>
                <w:rFonts w:ascii="Times New Roman" w:hAnsi="Times New Roman" w:cs="Times New Roman"/>
              </w:rPr>
              <w:lastRenderedPageBreak/>
              <w:t xml:space="preserve">předplatného a možnost rozšíření licence při navyšování kapacity nebo počtu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nodů bez nutnosti přeinstalace systému. </w:t>
            </w:r>
          </w:p>
          <w:p w14:paraId="07556124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Součástí licencí musí být komplexní podpora výrobce v režimu 24×7, pokrývající všechny vrstvy systému, která je poskytovaná z jednoho kontaktního místa.</w:t>
            </w:r>
          </w:p>
        </w:tc>
        <w:tc>
          <w:tcPr>
            <w:tcW w:w="1180" w:type="dxa"/>
            <w:vAlign w:val="center"/>
          </w:tcPr>
          <w:p w14:paraId="717C613D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5AE3E9DF" w14:textId="77777777" w:rsidTr="00B66159">
        <w:tc>
          <w:tcPr>
            <w:tcW w:w="1926" w:type="dxa"/>
            <w:vAlign w:val="center"/>
          </w:tcPr>
          <w:p w14:paraId="09781677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OS licence (produkce)</w:t>
            </w:r>
          </w:p>
        </w:tc>
        <w:tc>
          <w:tcPr>
            <w:tcW w:w="7360" w:type="dxa"/>
            <w:vAlign w:val="center"/>
          </w:tcPr>
          <w:p w14:paraId="5F0276BF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Musí být dodány licence Microsoft Windows Server Datacenter edice, licencované podle modelu založeného na počtu fyzických jader. Licenční pokrytí musí zahrnovat všechna fyzická jádra ve všech čtyřech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nodech tvořících HCI cluster, a to v souladu s minimálními licenčními požadavky společnosti Microsoft, tedy minimálně osmi jádry na procesor a šestnácti jádry na server.</w:t>
            </w:r>
          </w:p>
          <w:p w14:paraId="7C925AF8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Licencování musí umožnit provoz neomezeného počtu virtuálních strojů s operačním systémem Windows Server na všech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nodech v rámci clusteru. Licence musí být dodány jako trvalé (</w:t>
            </w:r>
            <w:proofErr w:type="spellStart"/>
            <w:r w:rsidRPr="00A82795">
              <w:rPr>
                <w:rFonts w:ascii="Times New Roman" w:hAnsi="Times New Roman" w:cs="Times New Roman"/>
              </w:rPr>
              <w:t>perpetual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) s právem na </w:t>
            </w:r>
            <w:proofErr w:type="spellStart"/>
            <w:r w:rsidRPr="00A82795">
              <w:rPr>
                <w:rFonts w:ascii="Times New Roman" w:hAnsi="Times New Roman" w:cs="Times New Roman"/>
              </w:rPr>
              <w:t>downgrade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a se službou Software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Assurance</w:t>
            </w:r>
            <w:proofErr w:type="spellEnd"/>
            <w:r w:rsidRPr="00A82795">
              <w:rPr>
                <w:rFonts w:ascii="Times New Roman" w:hAnsi="Times New Roman" w:cs="Times New Roman"/>
              </w:rPr>
              <w:t>, nebo ekvivalentní formou, která zajistí přístup k aktualizacím, opravám a novým verzím po celou dobu životnosti systému.</w:t>
            </w:r>
          </w:p>
          <w:p w14:paraId="15B8D747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Součástí dodávky musí být také 150 uživatelských licencí Windows Server CAL (User CAL) pro přístup uživatelů k serverovým službám a 5 licencí </w:t>
            </w:r>
            <w:proofErr w:type="spellStart"/>
            <w:r w:rsidRPr="00A82795">
              <w:rPr>
                <w:rFonts w:ascii="Times New Roman" w:hAnsi="Times New Roman" w:cs="Times New Roman"/>
              </w:rPr>
              <w:t>Remote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Desktop </w:t>
            </w:r>
            <w:proofErr w:type="spellStart"/>
            <w:r w:rsidRPr="00A82795">
              <w:rPr>
                <w:rFonts w:ascii="Times New Roman" w:hAnsi="Times New Roman" w:cs="Times New Roman"/>
              </w:rPr>
              <w:t>Services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CAL (RDS CAL) pro vzdálený přístup k serveru prostřednictvím služby </w:t>
            </w:r>
            <w:proofErr w:type="spellStart"/>
            <w:r w:rsidRPr="00A82795">
              <w:rPr>
                <w:rFonts w:ascii="Times New Roman" w:hAnsi="Times New Roman" w:cs="Times New Roman"/>
              </w:rPr>
              <w:t>Remote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Desktop.</w:t>
            </w:r>
          </w:p>
        </w:tc>
        <w:tc>
          <w:tcPr>
            <w:tcW w:w="1180" w:type="dxa"/>
            <w:vAlign w:val="center"/>
          </w:tcPr>
          <w:p w14:paraId="6F2789F2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</w:tbl>
    <w:p w14:paraId="748FEBA5" w14:textId="77777777" w:rsidR="00B55603" w:rsidRPr="00A82795" w:rsidRDefault="00B55603" w:rsidP="00B55603">
      <w:pPr>
        <w:pStyle w:val="normal11"/>
        <w:rPr>
          <w:rFonts w:ascii="Times New Roman" w:hAnsi="Times New Roman" w:cs="Times New Roman"/>
        </w:rPr>
      </w:pPr>
    </w:p>
    <w:p w14:paraId="50501EC3" w14:textId="77777777" w:rsidR="00B55603" w:rsidRPr="00A82795" w:rsidRDefault="00B55603" w:rsidP="00B55603">
      <w:pPr>
        <w:pStyle w:val="Nadpis3"/>
      </w:pPr>
      <w:r w:rsidRPr="00A82795">
        <w:t>5. Platforma pro Zálohování a Ochranu Dat</w:t>
      </w:r>
    </w:p>
    <w:tbl>
      <w:tblPr>
        <w:tblW w:w="1046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37"/>
        <w:gridCol w:w="7149"/>
        <w:gridCol w:w="1180"/>
      </w:tblGrid>
      <w:tr w:rsidR="00B55603" w:rsidRPr="00A82795" w14:paraId="12AE71FD" w14:textId="77777777" w:rsidTr="00B66159">
        <w:tc>
          <w:tcPr>
            <w:tcW w:w="2137" w:type="dxa"/>
            <w:vAlign w:val="center"/>
          </w:tcPr>
          <w:p w14:paraId="2CB90891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Položka/Funkce</w:t>
            </w:r>
          </w:p>
        </w:tc>
        <w:tc>
          <w:tcPr>
            <w:tcW w:w="7149" w:type="dxa"/>
            <w:vAlign w:val="center"/>
          </w:tcPr>
          <w:p w14:paraId="518A6177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Detailní funkce</w:t>
            </w:r>
          </w:p>
        </w:tc>
        <w:tc>
          <w:tcPr>
            <w:tcW w:w="1180" w:type="dxa"/>
            <w:vAlign w:val="center"/>
          </w:tcPr>
          <w:p w14:paraId="44C9F450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ANO/NE</w:t>
            </w:r>
          </w:p>
        </w:tc>
      </w:tr>
      <w:tr w:rsidR="00B55603" w:rsidRPr="00A82795" w14:paraId="77D57960" w14:textId="77777777" w:rsidTr="00B66159">
        <w:tc>
          <w:tcPr>
            <w:tcW w:w="2137" w:type="dxa"/>
            <w:vAlign w:val="center"/>
          </w:tcPr>
          <w:p w14:paraId="4957B0F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Formát</w:t>
            </w:r>
          </w:p>
        </w:tc>
        <w:tc>
          <w:tcPr>
            <w:tcW w:w="7149" w:type="dxa"/>
            <w:vAlign w:val="center"/>
          </w:tcPr>
          <w:p w14:paraId="442D5E42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Požaduje se použití rackového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appliance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node v provedení 1U, určeného pro instalaci do standardního 19" datového rozvaděče.</w:t>
            </w:r>
          </w:p>
        </w:tc>
        <w:tc>
          <w:tcPr>
            <w:tcW w:w="1180" w:type="dxa"/>
            <w:vAlign w:val="center"/>
          </w:tcPr>
          <w:p w14:paraId="1B85D1FC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229C82D7" w14:textId="77777777" w:rsidTr="00B66159">
        <w:tc>
          <w:tcPr>
            <w:tcW w:w="2137" w:type="dxa"/>
            <w:vAlign w:val="center"/>
          </w:tcPr>
          <w:p w14:paraId="539E46FE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CPU</w:t>
            </w:r>
          </w:p>
        </w:tc>
        <w:tc>
          <w:tcPr>
            <w:tcW w:w="7149" w:type="dxa"/>
            <w:vAlign w:val="center"/>
          </w:tcPr>
          <w:p w14:paraId="7A16667F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Server určený pro zálohovací platformu musí být vybaven alespoň jedním fyzickým procesorem s minimálně šestnácti fyzickými jádry. Procesor musí podporovat instrukční sadu x86-64, rozšíření AVX-512, technologii Hyper-</w:t>
            </w:r>
            <w:proofErr w:type="spellStart"/>
            <w:r w:rsidRPr="00A82795">
              <w:rPr>
                <w:rFonts w:ascii="Times New Roman" w:hAnsi="Times New Roman" w:cs="Times New Roman"/>
              </w:rPr>
              <w:t>Threading</w:t>
            </w:r>
            <w:proofErr w:type="spellEnd"/>
            <w:r w:rsidRPr="00A82795">
              <w:rPr>
                <w:rFonts w:ascii="Times New Roman" w:hAnsi="Times New Roman" w:cs="Times New Roman"/>
              </w:rPr>
              <w:t>, virtualizační akceleraci prostřednictvím Intel VT-x/VT-d a hardwarové šifrování pomocí Intel AES-NI.</w:t>
            </w:r>
          </w:p>
          <w:p w14:paraId="48670960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Požadovaný výkon procesoru musí přesahovat 45 000 bodů v testu </w:t>
            </w:r>
            <w:proofErr w:type="spellStart"/>
            <w:r w:rsidRPr="00A82795">
              <w:rPr>
                <w:rFonts w:ascii="Times New Roman" w:hAnsi="Times New Roman" w:cs="Times New Roman"/>
              </w:rPr>
              <w:t>PassMark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CPU Mark (</w:t>
            </w:r>
            <w:proofErr w:type="spellStart"/>
            <w:r w:rsidRPr="00A82795">
              <w:rPr>
                <w:rFonts w:ascii="Times New Roman" w:hAnsi="Times New Roman" w:cs="Times New Roman"/>
              </w:rPr>
              <w:t>Multi-Thread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) dle veřejně dostupných výsledků, přičemž tato hodnota musí být doložena minimálně pěti nezávislými měřeními. Architektura procesoru musí být kompatibilní s platformou Intel </w:t>
            </w:r>
            <w:proofErr w:type="spellStart"/>
            <w:r w:rsidRPr="00A82795">
              <w:rPr>
                <w:rFonts w:ascii="Times New Roman" w:hAnsi="Times New Roman" w:cs="Times New Roman"/>
              </w:rPr>
              <w:t>Xeon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Scalable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4. generace (</w:t>
            </w:r>
            <w:proofErr w:type="spellStart"/>
            <w:r w:rsidRPr="00A82795">
              <w:rPr>
                <w:rFonts w:ascii="Times New Roman" w:hAnsi="Times New Roman" w:cs="Times New Roman"/>
              </w:rPr>
              <w:t>Sapphire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Rapids</w:t>
            </w:r>
            <w:proofErr w:type="spellEnd"/>
            <w:r w:rsidRPr="00A82795">
              <w:rPr>
                <w:rFonts w:ascii="Times New Roman" w:hAnsi="Times New Roman" w:cs="Times New Roman"/>
              </w:rPr>
              <w:t>) a validována výrobcem serveru pro použití s operačním systémem Microsoft Windows Server 2025.</w:t>
            </w:r>
          </w:p>
        </w:tc>
        <w:tc>
          <w:tcPr>
            <w:tcW w:w="1180" w:type="dxa"/>
            <w:vAlign w:val="center"/>
          </w:tcPr>
          <w:p w14:paraId="33DF8FCD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530491D5" w14:textId="77777777" w:rsidTr="00B66159">
        <w:tc>
          <w:tcPr>
            <w:tcW w:w="2137" w:type="dxa"/>
            <w:vAlign w:val="center"/>
          </w:tcPr>
          <w:p w14:paraId="69544400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RAM</w:t>
            </w:r>
          </w:p>
        </w:tc>
        <w:tc>
          <w:tcPr>
            <w:tcW w:w="7149" w:type="dxa"/>
            <w:vAlign w:val="center"/>
          </w:tcPr>
          <w:p w14:paraId="60C1A24B" w14:textId="77777777" w:rsidR="00B55603" w:rsidRPr="00A82795" w:rsidRDefault="00B55603" w:rsidP="00B66159">
            <w:pPr>
              <w:pStyle w:val="normal11"/>
              <w:spacing w:after="140" w:line="276" w:lineRule="auto"/>
              <w:rPr>
                <w:rFonts w:ascii="Times New Roman" w:hAnsi="Times New Roman" w:cs="Times New Roman"/>
                <w:color w:val="000000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>Server určený pro zálohovací platformu musí být vybaven operační pamětí o kapacitě minimálně 192 GB typu DDR5 s efektivní přenosovou rychlostí nejméně 5600 MT/s. Paměť musí být nakonfigurována tak, aby bylo dosaženo optimálního výkonu a spolehlivosti systému, přičemž musí být zajištěno symetrické osazení paměťových kanálů a dosažena maximální propustnost paměťového subsystému v souladu s doporučeními výrobce serveru.</w:t>
            </w:r>
          </w:p>
        </w:tc>
        <w:tc>
          <w:tcPr>
            <w:tcW w:w="1180" w:type="dxa"/>
            <w:vAlign w:val="center"/>
          </w:tcPr>
          <w:p w14:paraId="7F7BFF78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2E6ADC8F" w14:textId="77777777" w:rsidTr="00B66159">
        <w:tc>
          <w:tcPr>
            <w:tcW w:w="2137" w:type="dxa"/>
            <w:vAlign w:val="center"/>
          </w:tcPr>
          <w:p w14:paraId="715B804D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Úložiště (Data)</w:t>
            </w:r>
          </w:p>
        </w:tc>
        <w:tc>
          <w:tcPr>
            <w:tcW w:w="7149" w:type="dxa"/>
            <w:vAlign w:val="center"/>
          </w:tcPr>
          <w:p w14:paraId="5E5607B3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Server určený pro zálohovací platformu musí být vybaven minimálně pěti pevnými disky typu SAS HDD podnikové třídy s kapacitou alespoň 16 TB a rychlostí otáček 7 200 RPM. Celková surová kapacita úložiště vyhrazeného pro zálohy musí činit minimálně 80 TB.</w:t>
            </w:r>
          </w:p>
        </w:tc>
        <w:tc>
          <w:tcPr>
            <w:tcW w:w="1180" w:type="dxa"/>
            <w:vAlign w:val="center"/>
          </w:tcPr>
          <w:p w14:paraId="25725670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28F6DAE2" w14:textId="77777777" w:rsidTr="00B66159">
        <w:tc>
          <w:tcPr>
            <w:tcW w:w="2137" w:type="dxa"/>
            <w:vAlign w:val="center"/>
          </w:tcPr>
          <w:p w14:paraId="549C1391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lastRenderedPageBreak/>
              <w:t>Diskový řadič</w:t>
            </w:r>
          </w:p>
        </w:tc>
        <w:tc>
          <w:tcPr>
            <w:tcW w:w="7149" w:type="dxa"/>
            <w:vAlign w:val="center"/>
          </w:tcPr>
          <w:p w14:paraId="02A795A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Server určený pro zálohovací platformu musí být vybaven dvěma oddělenými úložnými oblastmi: systémovou a datovou.</w:t>
            </w:r>
          </w:p>
          <w:p w14:paraId="72257B7D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Systémové úložiště musí být určeno pro instalaci operačního systému a zálohovací aplikace. Musí být tvořeno minimálně dvěma SSD disky podnikové třídy s kapacitou alespoň 960 GB každý, zapojenými do pole RAID 1 prostřednictvím </w:t>
            </w:r>
            <w:proofErr w:type="spellStart"/>
            <w:r w:rsidRPr="00A82795">
              <w:rPr>
                <w:rFonts w:ascii="Times New Roman" w:hAnsi="Times New Roman" w:cs="Times New Roman"/>
              </w:rPr>
              <w:t>enterprise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řadiče s podporou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cache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a ochranou zápisu (BBU/FBWC), zajišťující vysokou dostupnost a odolnost proti selhání disku.</w:t>
            </w:r>
          </w:p>
          <w:p w14:paraId="22FF575C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Datové úložiště musí být určeno pro ukládání záloh a metadat. Musí být konfigurováno jako pole RAID 10 s využitelnou kapacitou minimálně 40 TB, osazené disky typu NL-SAS nebo SATA SSD podnikové třídy. Musí podporovat monitoring stavu disků, hot-swap výměnu a automatickou rekonstrukci pole po výměně disku.</w:t>
            </w:r>
          </w:p>
          <w:p w14:paraId="38C73306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Úložiště musí být spravováno prostřednictvím integrovaného řadiče validovaného výrobcem serveru a plně podporovaného v rámci nástroje pro orchestraci životního cyklu (LCM). Architektura úložiště musí zajistit dostatečný výkon pro současné zpracování zálohovacích úloh, obnov a </w:t>
            </w:r>
            <w:proofErr w:type="spellStart"/>
            <w:r w:rsidRPr="00A82795">
              <w:rPr>
                <w:rFonts w:ascii="Times New Roman" w:hAnsi="Times New Roman" w:cs="Times New Roman"/>
              </w:rPr>
              <w:t>deduplikačních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procesů a zároveň poskytovat vysokou odolnost vůči selhání jednotlivých komponent.</w:t>
            </w:r>
          </w:p>
        </w:tc>
        <w:tc>
          <w:tcPr>
            <w:tcW w:w="1180" w:type="dxa"/>
            <w:vAlign w:val="center"/>
          </w:tcPr>
          <w:p w14:paraId="4CFD3569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5FCFA36F" w14:textId="77777777" w:rsidTr="00B66159">
        <w:tc>
          <w:tcPr>
            <w:tcW w:w="2137" w:type="dxa"/>
            <w:vAlign w:val="center"/>
          </w:tcPr>
          <w:p w14:paraId="2137CC7F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proofErr w:type="spellStart"/>
            <w:r w:rsidRPr="00A82795">
              <w:rPr>
                <w:rFonts w:ascii="Times New Roman" w:hAnsi="Times New Roman" w:cs="Times New Roman"/>
              </w:rPr>
              <w:t>Bootovací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zařízení</w:t>
            </w:r>
          </w:p>
        </w:tc>
        <w:tc>
          <w:tcPr>
            <w:tcW w:w="7149" w:type="dxa"/>
            <w:vAlign w:val="center"/>
          </w:tcPr>
          <w:p w14:paraId="74ACE70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Server musí být vybaven dedikovaným </w:t>
            </w:r>
            <w:proofErr w:type="spellStart"/>
            <w:r w:rsidRPr="00A82795">
              <w:rPr>
                <w:rFonts w:ascii="Times New Roman" w:hAnsi="Times New Roman" w:cs="Times New Roman"/>
              </w:rPr>
              <w:t>bootovacím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zařízením tvořeným dvojicí SSD disků podnikové třídy, například ve formátu M.2 nebo 2,5" SATA, zapojených do pole RAID 1. Celková kapacita tohoto </w:t>
            </w:r>
            <w:proofErr w:type="spellStart"/>
            <w:r w:rsidRPr="00A82795">
              <w:rPr>
                <w:rFonts w:ascii="Times New Roman" w:hAnsi="Times New Roman" w:cs="Times New Roman"/>
              </w:rPr>
              <w:t>bootovacího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pole musí být minimálně 480 GB a zařízení musí být vyhrazeno výhradně pro instalaci operačního systému a systémových komponent zálohovací platformy.</w:t>
            </w:r>
          </w:p>
          <w:p w14:paraId="28289911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proofErr w:type="spellStart"/>
            <w:r w:rsidRPr="00A82795">
              <w:rPr>
                <w:rFonts w:ascii="Times New Roman" w:hAnsi="Times New Roman" w:cs="Times New Roman"/>
              </w:rPr>
              <w:t>Bootovací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zařízení musí být zcela odděleno od datového úložiště určeného pro ukládání záloh, aby bylo zajištěno striktní oddělení systémové a datové části. Použité komponenty musí být validovány výrobcem serveru, plně podporovány v rámci nástroje pro orchestraci životního cyklu (LCM) a musí umožňovat monitoring stavu a automatické notifikace při selhání některé ze součástí.</w:t>
            </w:r>
          </w:p>
        </w:tc>
        <w:tc>
          <w:tcPr>
            <w:tcW w:w="1180" w:type="dxa"/>
            <w:vAlign w:val="center"/>
          </w:tcPr>
          <w:p w14:paraId="3884F59F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7E2CC828" w14:textId="77777777" w:rsidTr="00B66159">
        <w:tc>
          <w:tcPr>
            <w:tcW w:w="2137" w:type="dxa"/>
            <w:vAlign w:val="center"/>
          </w:tcPr>
          <w:p w14:paraId="3BBDCEE3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Síťová konektivita</w:t>
            </w:r>
          </w:p>
        </w:tc>
        <w:tc>
          <w:tcPr>
            <w:tcW w:w="7149" w:type="dxa"/>
            <w:vAlign w:val="center"/>
          </w:tcPr>
          <w:p w14:paraId="7BB6B413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Server musí být vybaven minimálně dvěma síťovými rozhraními s přenosovou rychlostí 10 </w:t>
            </w:r>
            <w:proofErr w:type="spellStart"/>
            <w:r w:rsidRPr="00A82795">
              <w:rPr>
                <w:rFonts w:ascii="Times New Roman" w:hAnsi="Times New Roman" w:cs="Times New Roman"/>
              </w:rPr>
              <w:t>Gb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/s, určenými pro datový provoz zálohování a obnov, a jedním dedikovaným management portem pro vzdálenou správu. Síťové adaptéry musí podporovat standardy 10GBASE-SR nebo 10GBASE-T, funkce Jumbo </w:t>
            </w:r>
            <w:proofErr w:type="spellStart"/>
            <w:r w:rsidRPr="00A82795">
              <w:rPr>
                <w:rFonts w:ascii="Times New Roman" w:hAnsi="Times New Roman" w:cs="Times New Roman"/>
              </w:rPr>
              <w:t>Frames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s hodnotou MTU 9000 a technologie pro odlehčení zátěže procesoru při přenosu dat, jako jsou TCP </w:t>
            </w:r>
            <w:proofErr w:type="spellStart"/>
            <w:r w:rsidRPr="00A82795">
              <w:rPr>
                <w:rFonts w:ascii="Times New Roman" w:hAnsi="Times New Roman" w:cs="Times New Roman"/>
              </w:rPr>
              <w:t>Offload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Checksum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Offload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a RSS. Podpora RDMA není vyžadována.</w:t>
            </w:r>
          </w:p>
          <w:p w14:paraId="2B274666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Síťová architektura musí umožňovat redundantní připojení k produkční síti HCI clusteru, oddělení managementu a zálohovacího provozu do samostatných VLAN a plnou integraci do centrálního systému monitoringu a nástroje pro orchestraci životního cyklu (LCM).</w:t>
            </w:r>
          </w:p>
          <w:p w14:paraId="1CC47685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Síťové adaptéry musí být validovány výrobcem serveru a plně podporovány v rámci LCM nástroje, který umožňuje jejich správu, monitoring a aktualizace firmwaru.</w:t>
            </w:r>
          </w:p>
        </w:tc>
        <w:tc>
          <w:tcPr>
            <w:tcW w:w="1180" w:type="dxa"/>
            <w:vAlign w:val="center"/>
          </w:tcPr>
          <w:p w14:paraId="3803A063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48B8F655" w14:textId="77777777" w:rsidTr="00B66159">
        <w:tc>
          <w:tcPr>
            <w:tcW w:w="2137" w:type="dxa"/>
            <w:vAlign w:val="center"/>
          </w:tcPr>
          <w:p w14:paraId="1707B0B4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Vzdálená správa</w:t>
            </w:r>
          </w:p>
        </w:tc>
        <w:tc>
          <w:tcPr>
            <w:tcW w:w="7149" w:type="dxa"/>
            <w:vAlign w:val="center"/>
          </w:tcPr>
          <w:p w14:paraId="1D129AC5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Server určený pro zálohovací platformu musí být vybaven plnohodnotným řadičem pro vzdálenou správu poskytujícím stejnou úroveň funkcionality, jaká je definována v kapitole 3.2. Řadič musí disponovat dedikovaným síťovým portem a podporovat moderní HTML5 rozhraní, které umožňuje kompletní správu serveru nezávisle na stavu operačního systému, včetně přístupu ke konzoli, monitoringu hardwarových senzorů, správy napájení a provádění aktualizací firmwaru.</w:t>
            </w:r>
          </w:p>
          <w:p w14:paraId="6DC845F0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lastRenderedPageBreak/>
              <w:t>Řadič musí podporovat role-</w:t>
            </w:r>
            <w:proofErr w:type="spellStart"/>
            <w:r w:rsidRPr="00A82795">
              <w:rPr>
                <w:rFonts w:ascii="Times New Roman" w:hAnsi="Times New Roman" w:cs="Times New Roman"/>
              </w:rPr>
              <w:t>based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access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control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(RBAC), šifrovanou komunikaci s využitím protokolu TLS 1.2 nebo vyššího a musí být </w:t>
            </w:r>
            <w:proofErr w:type="spellStart"/>
            <w:r w:rsidRPr="00A82795">
              <w:rPr>
                <w:rFonts w:ascii="Times New Roman" w:hAnsi="Times New Roman" w:cs="Times New Roman"/>
              </w:rPr>
              <w:t>integrovatelný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do nástroje pro orchestraci životního cyklu (LCM) výrobce serveru, který umožňuje centrální správu a monitoring zařízení.</w:t>
            </w:r>
          </w:p>
        </w:tc>
        <w:tc>
          <w:tcPr>
            <w:tcW w:w="1180" w:type="dxa"/>
            <w:vAlign w:val="center"/>
          </w:tcPr>
          <w:p w14:paraId="3730083E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62CF265E" w14:textId="77777777" w:rsidTr="00B66159">
        <w:tc>
          <w:tcPr>
            <w:tcW w:w="2137" w:type="dxa"/>
            <w:vAlign w:val="center"/>
          </w:tcPr>
          <w:p w14:paraId="7ACF037A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Napájení</w:t>
            </w:r>
          </w:p>
        </w:tc>
        <w:tc>
          <w:tcPr>
            <w:tcW w:w="7149" w:type="dxa"/>
            <w:vAlign w:val="center"/>
          </w:tcPr>
          <w:p w14:paraId="72C54F09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Server určený pro zálohovací platformu musí být vybaven dvěma redundantními hot-swap napájecími zdroji s vysokou energetickou účinností odpovídající minimálně certifikaci 80 PLUS </w:t>
            </w:r>
            <w:proofErr w:type="spellStart"/>
            <w:r w:rsidRPr="00A82795">
              <w:rPr>
                <w:rFonts w:ascii="Times New Roman" w:hAnsi="Times New Roman" w:cs="Times New Roman"/>
              </w:rPr>
              <w:t>Titanium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nebo ekvivalentní. Tyto napájecí zdroje musí umožňovat výměnu za provozu, podporovat monitoring stavu a spotřeby energie prostřednictvím řadiče vzdálené správy a být plně integrovány do nástroje pro orchestraci životního cyklu (LCM) výrobce serveru.</w:t>
            </w:r>
          </w:p>
          <w:p w14:paraId="167605E2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Architektura napájecího systému musí zajistit nepřerušený provoz serveru v případě výpadku jednoho zdroje a podporovat automatické řízení výkonu za účelem optimalizace energetické efektivity a snížení provozních nákladů.</w:t>
            </w:r>
          </w:p>
        </w:tc>
        <w:tc>
          <w:tcPr>
            <w:tcW w:w="1180" w:type="dxa"/>
            <w:vAlign w:val="center"/>
          </w:tcPr>
          <w:p w14:paraId="48CC5B16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6AA9D940" w14:textId="77777777" w:rsidTr="00B66159">
        <w:tc>
          <w:tcPr>
            <w:tcW w:w="2137" w:type="dxa"/>
            <w:vAlign w:val="center"/>
          </w:tcPr>
          <w:p w14:paraId="3FFFDA03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OS licence (zálohování)</w:t>
            </w:r>
          </w:p>
        </w:tc>
        <w:tc>
          <w:tcPr>
            <w:tcW w:w="7149" w:type="dxa"/>
            <w:vAlign w:val="center"/>
          </w:tcPr>
          <w:p w14:paraId="555B7437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Pro server určený pro zálohovací platformu musí být dodána licence Microsoft Windows Server 2025 Standard, licencovaná podle modelu per-</w:t>
            </w:r>
            <w:proofErr w:type="spellStart"/>
            <w:r w:rsidRPr="00A82795">
              <w:rPr>
                <w:rFonts w:ascii="Times New Roman" w:hAnsi="Times New Roman" w:cs="Times New Roman"/>
              </w:rPr>
              <w:t>core</w:t>
            </w:r>
            <w:proofErr w:type="spellEnd"/>
            <w:r w:rsidRPr="00A82795">
              <w:rPr>
                <w:rFonts w:ascii="Times New Roman" w:hAnsi="Times New Roman" w:cs="Times New Roman"/>
              </w:rPr>
              <w:t>, která pokrývá všechna fyzická jádra serveru, přičemž musí být splněny minimální licenční požadavky výrobce, tedy minimálně 8 jader na procesor a 16 jader na server. Licence musí umožňovat provoz zálohovacího softwaru v prostředí tohoto operačního systému.</w:t>
            </w:r>
          </w:p>
          <w:p w14:paraId="308634A1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  <w:highlight w:val="yellow"/>
              </w:rPr>
            </w:pPr>
            <w:r w:rsidRPr="00A82795">
              <w:rPr>
                <w:rFonts w:ascii="Times New Roman" w:hAnsi="Times New Roman" w:cs="Times New Roman"/>
              </w:rPr>
              <w:t>Licence musí být dodána jako plnohodnotná (</w:t>
            </w:r>
            <w:proofErr w:type="spellStart"/>
            <w:r w:rsidRPr="00A82795">
              <w:rPr>
                <w:rFonts w:ascii="Times New Roman" w:hAnsi="Times New Roman" w:cs="Times New Roman"/>
              </w:rPr>
              <w:t>perpetual</w:t>
            </w:r>
            <w:proofErr w:type="spellEnd"/>
            <w:r w:rsidRPr="00A82795">
              <w:rPr>
                <w:rFonts w:ascii="Times New Roman" w:hAnsi="Times New Roman" w:cs="Times New Roman"/>
              </w:rPr>
              <w:t>) a musí zahrnovat právo na aktualizace, bezpečnostní záplaty a technickou podporu po celou dobu životního cyklu systému.</w:t>
            </w:r>
          </w:p>
        </w:tc>
        <w:tc>
          <w:tcPr>
            <w:tcW w:w="1180" w:type="dxa"/>
            <w:vAlign w:val="center"/>
          </w:tcPr>
          <w:p w14:paraId="279DC561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</w:tbl>
    <w:p w14:paraId="1100633D" w14:textId="77777777" w:rsidR="00B55603" w:rsidRPr="00A82795" w:rsidRDefault="00B55603" w:rsidP="00B55603">
      <w:pPr>
        <w:pStyle w:val="normal11"/>
        <w:widowControl w:val="0"/>
        <w:spacing w:after="0" w:line="276" w:lineRule="auto"/>
        <w:rPr>
          <w:rFonts w:ascii="Times New Roman" w:hAnsi="Times New Roman" w:cs="Times New Roman"/>
        </w:rPr>
      </w:pPr>
    </w:p>
    <w:tbl>
      <w:tblPr>
        <w:tblW w:w="1046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7444"/>
        <w:gridCol w:w="1180"/>
      </w:tblGrid>
      <w:tr w:rsidR="00B55603" w:rsidRPr="00A82795" w14:paraId="26880B04" w14:textId="77777777" w:rsidTr="00B66159">
        <w:tc>
          <w:tcPr>
            <w:tcW w:w="1842" w:type="dxa"/>
            <w:vAlign w:val="center"/>
          </w:tcPr>
          <w:p w14:paraId="56EBDFB8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Položka/Funkce</w:t>
            </w:r>
          </w:p>
        </w:tc>
        <w:tc>
          <w:tcPr>
            <w:tcW w:w="7444" w:type="dxa"/>
            <w:vAlign w:val="center"/>
          </w:tcPr>
          <w:p w14:paraId="31F27767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Detailní funkce</w:t>
            </w:r>
          </w:p>
        </w:tc>
        <w:tc>
          <w:tcPr>
            <w:tcW w:w="1180" w:type="dxa"/>
            <w:vAlign w:val="center"/>
          </w:tcPr>
          <w:p w14:paraId="3DDB70ED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ANO/NE</w:t>
            </w:r>
          </w:p>
        </w:tc>
      </w:tr>
      <w:tr w:rsidR="00B55603" w:rsidRPr="00A82795" w14:paraId="37F61EA9" w14:textId="77777777" w:rsidTr="00B66159">
        <w:tc>
          <w:tcPr>
            <w:tcW w:w="1842" w:type="dxa"/>
            <w:vAlign w:val="center"/>
          </w:tcPr>
          <w:p w14:paraId="4C1B66E7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Funkcionalita</w:t>
            </w:r>
          </w:p>
        </w:tc>
        <w:tc>
          <w:tcPr>
            <w:tcW w:w="7444" w:type="dxa"/>
            <w:vAlign w:val="center"/>
          </w:tcPr>
          <w:p w14:paraId="52478C93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Požadovaný zálohovací software musí umožňovat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agentless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image-</w:t>
            </w:r>
            <w:proofErr w:type="spellStart"/>
            <w:r w:rsidRPr="00A82795">
              <w:rPr>
                <w:rFonts w:ascii="Times New Roman" w:hAnsi="Times New Roman" w:cs="Times New Roman"/>
              </w:rPr>
              <w:t>based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zálohování virtuálních strojů běžících na dodané HCI platformě s využitím technologie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Change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Block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Tracking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(CBT) pro efektivní inkrementální zálohy.</w:t>
            </w:r>
          </w:p>
          <w:p w14:paraId="1DE8C962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Systém musí poskytovat funkce pro okamžitou obnovu virtuálních strojů přímo ze zálohy, automatizované ověřování konzistence záloh, ochranu proti ransomwarovým útokům prostřednictvím neměnných </w:t>
            </w:r>
            <w:proofErr w:type="gramStart"/>
            <w:r w:rsidRPr="00A82795">
              <w:rPr>
                <w:rFonts w:ascii="Times New Roman" w:hAnsi="Times New Roman" w:cs="Times New Roman"/>
              </w:rPr>
              <w:t>úložišť ,</w:t>
            </w:r>
            <w:proofErr w:type="gramEnd"/>
            <w:r w:rsidRPr="00A82795">
              <w:rPr>
                <w:rFonts w:ascii="Times New Roman" w:hAnsi="Times New Roman" w:cs="Times New Roman"/>
              </w:rPr>
              <w:t xml:space="preserve"> kontinuální ochranu dat pro kritické virtuální stroje s nízkou hodnotou RPO, a také granulární obnovu jednotlivých souborů, virtuálních disků a aplikačních položek, jako jsou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Active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Directory</w:t>
            </w:r>
            <w:proofErr w:type="spellEnd"/>
            <w:r w:rsidRPr="00A82795">
              <w:rPr>
                <w:rFonts w:ascii="Times New Roman" w:hAnsi="Times New Roman" w:cs="Times New Roman"/>
              </w:rPr>
              <w:t>, Exchange, SQL či SharePoint.</w:t>
            </w:r>
          </w:p>
          <w:p w14:paraId="06827040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Dále musí být podporovány aplikačně konzistentní zálohy, možnost replikace a tvorby </w:t>
            </w:r>
            <w:proofErr w:type="spellStart"/>
            <w:r w:rsidRPr="00A82795">
              <w:rPr>
                <w:rFonts w:ascii="Times New Roman" w:hAnsi="Times New Roman" w:cs="Times New Roman"/>
              </w:rPr>
              <w:t>off-site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kopií záloh pro účely </w:t>
            </w:r>
            <w:proofErr w:type="spellStart"/>
            <w:r w:rsidRPr="00A82795">
              <w:rPr>
                <w:rFonts w:ascii="Times New Roman" w:hAnsi="Times New Roman" w:cs="Times New Roman"/>
              </w:rPr>
              <w:t>disaster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recovery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a dostupnost integrovaných nástrojů pro monitoring, reporting a kapacitní plánování celé zálohovací infrastruktury.</w:t>
            </w:r>
          </w:p>
        </w:tc>
        <w:tc>
          <w:tcPr>
            <w:tcW w:w="1180" w:type="dxa"/>
            <w:vAlign w:val="center"/>
          </w:tcPr>
          <w:p w14:paraId="5518EAD7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19A7DCB6" w14:textId="77777777" w:rsidTr="00B66159">
        <w:tc>
          <w:tcPr>
            <w:tcW w:w="1842" w:type="dxa"/>
            <w:vAlign w:val="center"/>
          </w:tcPr>
          <w:p w14:paraId="78030A17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Licenční model</w:t>
            </w:r>
          </w:p>
        </w:tc>
        <w:tc>
          <w:tcPr>
            <w:tcW w:w="7444" w:type="dxa"/>
            <w:vAlign w:val="center"/>
          </w:tcPr>
          <w:p w14:paraId="27A70640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Licenční model zálohovacího softwaru musí být univerzální, flexibilní a přenositelný, založený na principu licencování podle počtu chráněných instancí. Licence musí pokrývat minimálně 40 chráněných instancí, bez ohledu na typ pracovních zátěží, a to včetně virtuálních strojů, fyzických serverů, NAS úložišť, cloudových instancí nebo aplikačních </w:t>
            </w:r>
            <w:sdt>
              <w:sdtPr>
                <w:rPr>
                  <w:rFonts w:ascii="Times New Roman" w:hAnsi="Times New Roman" w:cs="Times New Roman"/>
                </w:rPr>
                <w:tag w:val="goog_rdk_0"/>
                <w:id w:val="2114409177"/>
              </w:sdtPr>
              <w:sdtEndPr/>
              <w:sdtContent/>
            </w:sdt>
            <w:r w:rsidRPr="00A82795">
              <w:rPr>
                <w:rFonts w:ascii="Times New Roman" w:hAnsi="Times New Roman" w:cs="Times New Roman"/>
              </w:rPr>
              <w:t xml:space="preserve">úloh. </w:t>
            </w:r>
          </w:p>
          <w:p w14:paraId="4DA77C52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Součástí licencí musí být rovněž zálohování pro 130 uživatelů služby Microsoft 365 (Exchange Online, </w:t>
            </w:r>
            <w:proofErr w:type="spellStart"/>
            <w:r w:rsidRPr="00A82795">
              <w:rPr>
                <w:rFonts w:ascii="Times New Roman" w:hAnsi="Times New Roman" w:cs="Times New Roman"/>
              </w:rPr>
              <w:t>OneDrive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for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Business, SharePoint Online, Teams), včetně možnosti granulární obnovy jednotlivých položek a dlouhodobé archivace dat.</w:t>
            </w:r>
          </w:p>
          <w:p w14:paraId="2D594309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Licenční model musí umožňovat volné přerozdělování licencovaných instancí mezi jednotlivými typy zátěží podle aktuálních potřeb organizace.</w:t>
            </w:r>
          </w:p>
          <w:p w14:paraId="546D83AA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lastRenderedPageBreak/>
              <w:t>Licence musí být poskytována formou předplatného s platností minimálně 5 let a musí zahrnovat produkční technickou podporu v režimu 24×7 po celou dobu trvání předplatného.</w:t>
            </w:r>
          </w:p>
          <w:p w14:paraId="0860F0F8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 w14:paraId="0A091644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</w:tbl>
    <w:p w14:paraId="57CAF9D3" w14:textId="77777777" w:rsidR="00B55603" w:rsidRPr="00A82795" w:rsidRDefault="00B55603" w:rsidP="00B55603">
      <w:pPr>
        <w:pStyle w:val="normal11"/>
        <w:rPr>
          <w:rFonts w:ascii="Times New Roman" w:hAnsi="Times New Roman" w:cs="Times New Roman"/>
        </w:rPr>
      </w:pPr>
    </w:p>
    <w:p w14:paraId="20DEE6FA" w14:textId="77777777" w:rsidR="00B55603" w:rsidRPr="00A82795" w:rsidRDefault="00B55603" w:rsidP="00B55603">
      <w:pPr>
        <w:pStyle w:val="Nadpis3"/>
      </w:pPr>
      <w:bookmarkStart w:id="0" w:name="_heading=h.nuat06q3a6l2" w:colFirst="0" w:colLast="0"/>
      <w:bookmarkEnd w:id="0"/>
      <w:r w:rsidRPr="00A82795">
        <w:t>6. Síťová Infrastruktura</w:t>
      </w:r>
    </w:p>
    <w:tbl>
      <w:tblPr>
        <w:tblW w:w="1046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03"/>
        <w:gridCol w:w="7383"/>
        <w:gridCol w:w="1180"/>
      </w:tblGrid>
      <w:tr w:rsidR="00B55603" w:rsidRPr="00A82795" w14:paraId="25F8B377" w14:textId="77777777" w:rsidTr="00B66159">
        <w:tc>
          <w:tcPr>
            <w:tcW w:w="1903" w:type="dxa"/>
            <w:vAlign w:val="center"/>
          </w:tcPr>
          <w:p w14:paraId="224FB7B3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Položka/Funkce</w:t>
            </w:r>
          </w:p>
        </w:tc>
        <w:tc>
          <w:tcPr>
            <w:tcW w:w="7383" w:type="dxa"/>
            <w:vAlign w:val="center"/>
          </w:tcPr>
          <w:p w14:paraId="67470E50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Detailní funkce</w:t>
            </w:r>
          </w:p>
        </w:tc>
        <w:tc>
          <w:tcPr>
            <w:tcW w:w="1180" w:type="dxa"/>
            <w:vAlign w:val="center"/>
          </w:tcPr>
          <w:p w14:paraId="2BFD0D6C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ANO/NE</w:t>
            </w:r>
          </w:p>
        </w:tc>
      </w:tr>
      <w:tr w:rsidR="00B55603" w:rsidRPr="00A82795" w14:paraId="242477E0" w14:textId="77777777" w:rsidTr="00B66159">
        <w:tc>
          <w:tcPr>
            <w:tcW w:w="1903" w:type="dxa"/>
            <w:vAlign w:val="center"/>
          </w:tcPr>
          <w:p w14:paraId="51099DC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Přepínače (Switche)</w:t>
            </w:r>
          </w:p>
        </w:tc>
        <w:tc>
          <w:tcPr>
            <w:tcW w:w="7383" w:type="dxa"/>
            <w:vAlign w:val="center"/>
          </w:tcPr>
          <w:p w14:paraId="78F74C1C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Požaduje se dodávka dvou identických </w:t>
            </w:r>
            <w:proofErr w:type="spellStart"/>
            <w:r w:rsidRPr="00A82795">
              <w:rPr>
                <w:rFonts w:ascii="Times New Roman" w:hAnsi="Times New Roman" w:cs="Times New Roman"/>
              </w:rPr>
              <w:t>datacentrových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switchů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určených pro zajištění plně redundantní a vysoce dostupné síťové infrastruktury HCI clusteru. Switche musí být vzájemně propojeny a nakonfigurovány tak, aby byl zajištěn nepřerušený provoz i v případě výpadku jednoho z nich.</w:t>
            </w:r>
          </w:p>
          <w:p w14:paraId="422FC66F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Switche musí podporovat L2 a L3 funkcionalitu, včetně technologií Link </w:t>
            </w:r>
            <w:proofErr w:type="spellStart"/>
            <w:r w:rsidRPr="00A82795">
              <w:rPr>
                <w:rFonts w:ascii="Times New Roman" w:hAnsi="Times New Roman" w:cs="Times New Roman"/>
              </w:rPr>
              <w:t>Aggregation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(LACP), VLAN </w:t>
            </w:r>
            <w:proofErr w:type="spellStart"/>
            <w:r w:rsidRPr="00A82795">
              <w:rPr>
                <w:rFonts w:ascii="Times New Roman" w:hAnsi="Times New Roman" w:cs="Times New Roman"/>
              </w:rPr>
              <w:t>tagging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(802.1Q), </w:t>
            </w:r>
            <w:proofErr w:type="spellStart"/>
            <w:r w:rsidRPr="00A82795">
              <w:rPr>
                <w:rFonts w:ascii="Times New Roman" w:hAnsi="Times New Roman" w:cs="Times New Roman"/>
              </w:rPr>
              <w:t>QoS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, Data Center </w:t>
            </w:r>
            <w:proofErr w:type="spellStart"/>
            <w:r w:rsidRPr="00A82795">
              <w:rPr>
                <w:rFonts w:ascii="Times New Roman" w:hAnsi="Times New Roman" w:cs="Times New Roman"/>
              </w:rPr>
              <w:t>Bridging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(DCB) a Priority </w:t>
            </w:r>
            <w:proofErr w:type="spellStart"/>
            <w:r w:rsidRPr="00A82795">
              <w:rPr>
                <w:rFonts w:ascii="Times New Roman" w:hAnsi="Times New Roman" w:cs="Times New Roman"/>
              </w:rPr>
              <w:t>Flow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Control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(PFC). Musí umožňovat </w:t>
            </w:r>
            <w:proofErr w:type="spellStart"/>
            <w:r w:rsidRPr="00A82795">
              <w:rPr>
                <w:rFonts w:ascii="Times New Roman" w:hAnsi="Times New Roman" w:cs="Times New Roman"/>
              </w:rPr>
              <w:t>stackování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nebo použití technologie MCLAG / </w:t>
            </w:r>
            <w:proofErr w:type="spellStart"/>
            <w:r w:rsidRPr="00A82795">
              <w:rPr>
                <w:rFonts w:ascii="Times New Roman" w:hAnsi="Times New Roman" w:cs="Times New Roman"/>
              </w:rPr>
              <w:t>Virtual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PortChannel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795">
              <w:rPr>
                <w:rFonts w:ascii="Times New Roman" w:hAnsi="Times New Roman" w:cs="Times New Roman"/>
              </w:rPr>
              <w:t>vPC</w:t>
            </w:r>
            <w:proofErr w:type="spellEnd"/>
            <w:r w:rsidRPr="00A82795">
              <w:rPr>
                <w:rFonts w:ascii="Times New Roman" w:hAnsi="Times New Roman" w:cs="Times New Roman"/>
              </w:rPr>
              <w:t>) pro vytvoření aktivní redundance a jednotné logické topologie.</w:t>
            </w:r>
          </w:p>
          <w:p w14:paraId="3DDC5855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Dále se požaduje podpora out-</w:t>
            </w:r>
            <w:proofErr w:type="spellStart"/>
            <w:r w:rsidRPr="00A82795">
              <w:rPr>
                <w:rFonts w:ascii="Times New Roman" w:hAnsi="Times New Roman" w:cs="Times New Roman"/>
              </w:rPr>
              <w:t>of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-band managementu a monitoringu prostřednictvím standardních protokolů, jako jsou SNMP, </w:t>
            </w:r>
            <w:proofErr w:type="spellStart"/>
            <w:r w:rsidRPr="00A82795">
              <w:rPr>
                <w:rFonts w:ascii="Times New Roman" w:hAnsi="Times New Roman" w:cs="Times New Roman"/>
              </w:rPr>
              <w:t>Syslog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a REST API, a integrace do centrálního systému správy infrastruktury.</w:t>
            </w:r>
          </w:p>
        </w:tc>
        <w:tc>
          <w:tcPr>
            <w:tcW w:w="1180" w:type="dxa"/>
            <w:vAlign w:val="center"/>
          </w:tcPr>
          <w:p w14:paraId="49357DB5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74C2C1D9" w14:textId="77777777" w:rsidTr="00B66159">
        <w:tc>
          <w:tcPr>
            <w:tcW w:w="1903" w:type="dxa"/>
            <w:vAlign w:val="center"/>
          </w:tcPr>
          <w:p w14:paraId="26178E2A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Specifikace</w:t>
            </w:r>
          </w:p>
        </w:tc>
        <w:tc>
          <w:tcPr>
            <w:tcW w:w="7383" w:type="dxa"/>
            <w:vAlign w:val="center"/>
          </w:tcPr>
          <w:p w14:paraId="70B5A72A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  <w:color w:val="000000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 xml:space="preserve">Každý switch musí být vybaven minimálně 12 porty 100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Gb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/s (QSFP28) a 48 porty 1/10/25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Gb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/s (SFP28) s podporou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breakout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režimu 4× 25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Gb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>/s.</w:t>
            </w:r>
          </w:p>
          <w:p w14:paraId="03DAE229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  <w:color w:val="000000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 xml:space="preserve">Switche musí podporovat IPv6, technologii VXLAN EVPN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fabric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pro škálovatelnou L2/L3 virtualizaci, plnohodnotnou L3 funkcionalitu včetně OSPFv3, BGP, ECMP a VRRP.</w:t>
            </w:r>
          </w:p>
          <w:p w14:paraId="7F22E195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  <w:color w:val="000000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 xml:space="preserve">Požaduje se také podpora IEEE 802.1AE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MACSec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s propustností alespoň 1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Gb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/s, rozšířených VLAN (ID až 4096, minimálně 200 aktivních),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NetFlow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Spanning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Tree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protokolů (RPVST, MST), LLDP, CDP, ERSPAN Type III, bezztrátového RDMA Ethernetu, DCB protokolů (DCBX, ECN) a BFD (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Bidirectional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Forwarding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Detection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>).</w:t>
            </w:r>
          </w:p>
          <w:p w14:paraId="78351526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 xml:space="preserve">Konfigurační systém musí podporovat </w:t>
            </w:r>
            <w:proofErr w:type="gramStart"/>
            <w:r w:rsidRPr="00A82795">
              <w:rPr>
                <w:rFonts w:ascii="Times New Roman" w:hAnsi="Times New Roman" w:cs="Times New Roman"/>
                <w:color w:val="000000"/>
              </w:rPr>
              <w:t>2-stage</w:t>
            </w:r>
            <w:proofErr w:type="gramEnd"/>
            <w:r w:rsidRPr="00A827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commit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pro bezpečné nasazování změn a poskytovat API pokrývající všechny funkce CLI s podporou standardizovaných rozhraní RESTCONF a NETCONF.</w:t>
            </w:r>
          </w:p>
        </w:tc>
        <w:tc>
          <w:tcPr>
            <w:tcW w:w="1180" w:type="dxa"/>
            <w:vAlign w:val="center"/>
          </w:tcPr>
          <w:p w14:paraId="2779551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1BE10342" w14:textId="77777777" w:rsidTr="00B66159">
        <w:tc>
          <w:tcPr>
            <w:tcW w:w="1903" w:type="dxa"/>
            <w:vAlign w:val="center"/>
          </w:tcPr>
          <w:p w14:paraId="6E93A840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Výkon a funkce</w:t>
            </w:r>
          </w:p>
        </w:tc>
        <w:tc>
          <w:tcPr>
            <w:tcW w:w="7383" w:type="dxa"/>
            <w:vAlign w:val="center"/>
          </w:tcPr>
          <w:p w14:paraId="31AA9A5C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Switche musí být určeny pro provoz v datových centrech a navrženy tak, aby poskytovaly nízkou latenci a vysokou propustnost odpovídající požadavkům HCI infrastruktury. Musí podporovat směrování na úrovni L3 s hardwarovou akcelerací a schopností zpracovávat vysoký počet směrovacích záznamů pro zajištění výkonu a škálovatelnosti sítě.</w:t>
            </w:r>
          </w:p>
          <w:p w14:paraId="78F07FAE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Požaduje se možnost vytváření logicky jednotné a plně redundantní topologie prostřednictvím stohování (</w:t>
            </w:r>
            <w:proofErr w:type="spellStart"/>
            <w:r w:rsidRPr="00A82795">
              <w:rPr>
                <w:rFonts w:ascii="Times New Roman" w:hAnsi="Times New Roman" w:cs="Times New Roman"/>
              </w:rPr>
              <w:t>stacking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) nebo ekvivalentní technologie, jako je MCLAG nebo </w:t>
            </w:r>
            <w:proofErr w:type="spellStart"/>
            <w:r w:rsidRPr="00A82795">
              <w:rPr>
                <w:rFonts w:ascii="Times New Roman" w:hAnsi="Times New Roman" w:cs="Times New Roman"/>
              </w:rPr>
              <w:t>Virtual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PortChannel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795">
              <w:rPr>
                <w:rFonts w:ascii="Times New Roman" w:hAnsi="Times New Roman" w:cs="Times New Roman"/>
              </w:rPr>
              <w:t>vPC</w:t>
            </w:r>
            <w:proofErr w:type="spellEnd"/>
            <w:r w:rsidRPr="00A82795">
              <w:rPr>
                <w:rFonts w:ascii="Times New Roman" w:hAnsi="Times New Roman" w:cs="Times New Roman"/>
              </w:rPr>
              <w:t>), která zajistí aktivní/aktivní redundanci a nepřerušený provoz i při výpadku jednoho zařízení.</w:t>
            </w:r>
          </w:p>
          <w:p w14:paraId="3D5F2242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Switche musí být schopny zajistit bezztrátový přenos dat a musí podporovat technologie DCB (Data Center </w:t>
            </w:r>
            <w:proofErr w:type="spellStart"/>
            <w:r w:rsidRPr="00A82795">
              <w:rPr>
                <w:rFonts w:ascii="Times New Roman" w:hAnsi="Times New Roman" w:cs="Times New Roman"/>
              </w:rPr>
              <w:t>Bridging</w:t>
            </w:r>
            <w:proofErr w:type="spellEnd"/>
            <w:r w:rsidRPr="00A82795">
              <w:rPr>
                <w:rFonts w:ascii="Times New Roman" w:hAnsi="Times New Roman" w:cs="Times New Roman"/>
              </w:rPr>
              <w:t>) a RDMA. Musí být plně kompatibilní s požadavky HCI platformy na síťovou infrastrukturu a umožňovat jejich plnou integraci do provozního a monitorovacího prostředí.</w:t>
            </w:r>
          </w:p>
        </w:tc>
        <w:tc>
          <w:tcPr>
            <w:tcW w:w="1180" w:type="dxa"/>
            <w:vAlign w:val="center"/>
          </w:tcPr>
          <w:p w14:paraId="05B2151F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1A370F23" w14:textId="77777777" w:rsidTr="00B66159">
        <w:tc>
          <w:tcPr>
            <w:tcW w:w="1903" w:type="dxa"/>
            <w:vAlign w:val="center"/>
          </w:tcPr>
          <w:p w14:paraId="2246A8E9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Napájení a chlazení</w:t>
            </w:r>
          </w:p>
        </w:tc>
        <w:tc>
          <w:tcPr>
            <w:tcW w:w="7383" w:type="dxa"/>
            <w:vAlign w:val="center"/>
          </w:tcPr>
          <w:p w14:paraId="0BCAB363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Každý switch musí být vybaven dvěma redundantními hot-swap napájecími zdroji a redundantními ventilátory, které umožňují výměnu za provozu bez </w:t>
            </w:r>
            <w:r w:rsidRPr="00A82795">
              <w:rPr>
                <w:rFonts w:ascii="Times New Roman" w:hAnsi="Times New Roman" w:cs="Times New Roman"/>
              </w:rPr>
              <w:lastRenderedPageBreak/>
              <w:t xml:space="preserve">přerušení funkce zařízení. Napájecí zdroje musí splňovat minimálně certifikaci 80 PLUS </w:t>
            </w:r>
            <w:proofErr w:type="spellStart"/>
            <w:r w:rsidRPr="00A82795">
              <w:rPr>
                <w:rFonts w:ascii="Times New Roman" w:hAnsi="Times New Roman" w:cs="Times New Roman"/>
              </w:rPr>
              <w:t>Platinum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nebo vyšší a musí podporovat monitoring stavu a spotřeby energie prostřednictvím systémového rozhraní.</w:t>
            </w:r>
          </w:p>
          <w:p w14:paraId="7A508E0A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Ventilátory musí být modulární se směrem proudění vzduchu </w:t>
            </w:r>
            <w:proofErr w:type="spellStart"/>
            <w:r w:rsidRPr="00A82795">
              <w:rPr>
                <w:rFonts w:ascii="Times New Roman" w:hAnsi="Times New Roman" w:cs="Times New Roman"/>
              </w:rPr>
              <w:t>back</w:t>
            </w:r>
            <w:proofErr w:type="spellEnd"/>
            <w:r w:rsidRPr="00A82795">
              <w:rPr>
                <w:rFonts w:ascii="Times New Roman" w:hAnsi="Times New Roman" w:cs="Times New Roman"/>
              </w:rPr>
              <w:t>-to-front.</w:t>
            </w:r>
          </w:p>
          <w:p w14:paraId="7F6614DC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Systém napájení a chlazení musí zajistit nepřerušený provoz 24×7 a být plně integrován do monitoringu a správy zařízení, například prostřednictvím SNMP nebo REST API.</w:t>
            </w:r>
          </w:p>
        </w:tc>
        <w:tc>
          <w:tcPr>
            <w:tcW w:w="1180" w:type="dxa"/>
            <w:vAlign w:val="center"/>
          </w:tcPr>
          <w:p w14:paraId="0A3B2640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</w:tbl>
    <w:p w14:paraId="4D4C79CC" w14:textId="77777777" w:rsidR="00B55603" w:rsidRPr="00A82795" w:rsidRDefault="00B55603" w:rsidP="00B55603">
      <w:pPr>
        <w:pStyle w:val="normal11"/>
        <w:rPr>
          <w:rFonts w:ascii="Times New Roman" w:hAnsi="Times New Roman" w:cs="Times New Roman"/>
        </w:rPr>
      </w:pPr>
    </w:p>
    <w:p w14:paraId="09E956E9" w14:textId="77777777" w:rsidR="00B55603" w:rsidRPr="00A82795" w:rsidRDefault="00B55603" w:rsidP="00B55603">
      <w:pPr>
        <w:pStyle w:val="Nadpis3"/>
      </w:pPr>
      <w:r w:rsidRPr="00A82795">
        <w:t>7. Služby, Implementace a Podpora</w:t>
      </w:r>
    </w:p>
    <w:tbl>
      <w:tblPr>
        <w:tblW w:w="1046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44"/>
        <w:gridCol w:w="7342"/>
        <w:gridCol w:w="1180"/>
      </w:tblGrid>
      <w:tr w:rsidR="00B55603" w:rsidRPr="00A82795" w14:paraId="058D7EA5" w14:textId="77777777" w:rsidTr="00B66159">
        <w:tc>
          <w:tcPr>
            <w:tcW w:w="1944" w:type="dxa"/>
            <w:vAlign w:val="center"/>
          </w:tcPr>
          <w:p w14:paraId="57B7ED47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Položka/Funkce</w:t>
            </w:r>
          </w:p>
        </w:tc>
        <w:tc>
          <w:tcPr>
            <w:tcW w:w="7342" w:type="dxa"/>
            <w:vAlign w:val="center"/>
          </w:tcPr>
          <w:p w14:paraId="4616A551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Detailní funkce</w:t>
            </w:r>
          </w:p>
        </w:tc>
        <w:tc>
          <w:tcPr>
            <w:tcW w:w="1180" w:type="dxa"/>
            <w:vAlign w:val="center"/>
          </w:tcPr>
          <w:p w14:paraId="6DD0FD2C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82795">
              <w:rPr>
                <w:rFonts w:ascii="Times New Roman" w:hAnsi="Times New Roman" w:cs="Times New Roman"/>
                <w:b/>
              </w:rPr>
              <w:t>ANO/NE</w:t>
            </w:r>
          </w:p>
        </w:tc>
      </w:tr>
      <w:tr w:rsidR="00B55603" w:rsidRPr="00A82795" w14:paraId="02FE5E6B" w14:textId="77777777" w:rsidTr="00B66159">
        <w:tc>
          <w:tcPr>
            <w:tcW w:w="1944" w:type="dxa"/>
            <w:vAlign w:val="center"/>
          </w:tcPr>
          <w:p w14:paraId="20402495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Implementační služby</w:t>
            </w:r>
          </w:p>
        </w:tc>
        <w:tc>
          <w:tcPr>
            <w:tcW w:w="7342" w:type="dxa"/>
            <w:vAlign w:val="center"/>
          </w:tcPr>
          <w:p w14:paraId="57C83B26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>Součástí dodávky musí být kompletní implementace formou dodávky na klíč, zahrnující veškeré činnosti nutné k plnému zprovoznění dodaného řešení. Dodavatel je povinen zajistit projektové řízení celé realizace, včetně vytvoření projektového plánu, harmonogramu a definice milníků.</w:t>
            </w:r>
          </w:p>
          <w:p w14:paraId="37920489" w14:textId="77777777" w:rsidR="00B55603" w:rsidRPr="00A82795" w:rsidRDefault="00B55603" w:rsidP="00B66159">
            <w:pPr>
              <w:pStyle w:val="normal11"/>
              <w:spacing w:before="240" w:after="240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Projekt musí být řízen v souladu s uznávanými metodikami projektového řízení, přičemž se požaduje, aby osoba odpovědná za řízení projektu byla držitelem platné certifikace ITIL a PRINCE2.</w:t>
            </w:r>
          </w:p>
          <w:p w14:paraId="77C4CC8A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  <w:color w:val="000000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 xml:space="preserve">Dále musí být provedena instalace a montáž veškerého dodaného hardwaru, včetně serverů,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switchů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a úložiště, do datového rozvaděče, jejich uvedení do provozu a ověření funkčnosti. Součástí implementace je také návrh koncepce síťové infrastruktury určené pro HCI platformu a zálohovací systém, její konfigurace a otestování.</w:t>
            </w:r>
          </w:p>
          <w:p w14:paraId="53E7C2FE" w14:textId="77777777" w:rsidR="00B55603" w:rsidRPr="00A82795" w:rsidRDefault="00B55603" w:rsidP="00B66159">
            <w:pPr>
              <w:pStyle w:val="normal11"/>
              <w:spacing w:before="240" w:after="240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Dodavatel musí zajistit instalaci a konfiguraci virtualizační platformy, vytvoření HCI clusteru, konfiguraci úložiště a nástrojů pro správu. Součástí implementace musí být rovněž migrace virtuálních systémů a dat ze stávající platformy </w:t>
            </w:r>
            <w:proofErr w:type="spellStart"/>
            <w:r w:rsidRPr="00A82795">
              <w:rPr>
                <w:rFonts w:ascii="Times New Roman" w:hAnsi="Times New Roman" w:cs="Times New Roman"/>
              </w:rPr>
              <w:t>oVirt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na nově dodanou HCI platformu, včetně ověření funkčnosti a konzistence po migraci.</w:t>
            </w:r>
          </w:p>
          <w:p w14:paraId="7D3063A9" w14:textId="77777777" w:rsidR="00B55603" w:rsidRPr="00A82795" w:rsidRDefault="00B55603" w:rsidP="00B66159">
            <w:pPr>
              <w:pStyle w:val="normal11"/>
              <w:spacing w:before="240" w:after="240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 xml:space="preserve">Za účelem doložení odborných kompetencí musí dodavatel prokázat, že jeho realizační tým disponuje potřebnými profesními certifikacemi. Požaduje se, aby alespoň jeden z členů týmu byl držitelem certifikace </w:t>
            </w:r>
            <w:proofErr w:type="spellStart"/>
            <w:r w:rsidRPr="00A82795">
              <w:rPr>
                <w:rFonts w:ascii="Times New Roman" w:hAnsi="Times New Roman" w:cs="Times New Roman"/>
              </w:rPr>
              <w:t>Red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Hat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Certified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</w:rPr>
              <w:t>Engineer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(RHCE) pro zajištění kvalifikace k migraci z </w:t>
            </w:r>
            <w:proofErr w:type="spellStart"/>
            <w:r w:rsidRPr="00A82795">
              <w:rPr>
                <w:rFonts w:ascii="Times New Roman" w:hAnsi="Times New Roman" w:cs="Times New Roman"/>
              </w:rPr>
              <w:t>oVirt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a případnému řešení technických problémů. Dále se požaduje držení platné certifikace </w:t>
            </w:r>
            <w:proofErr w:type="spellStart"/>
            <w:r w:rsidRPr="00A82795">
              <w:rPr>
                <w:rFonts w:ascii="Times New Roman" w:hAnsi="Times New Roman" w:cs="Times New Roman"/>
              </w:rPr>
              <w:t>VMware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(např. VCP nebo vyšší) pro prokázání znalostí v oblasti </w:t>
            </w:r>
            <w:proofErr w:type="spellStart"/>
            <w:r w:rsidRPr="00A82795">
              <w:rPr>
                <w:rFonts w:ascii="Times New Roman" w:hAnsi="Times New Roman" w:cs="Times New Roman"/>
              </w:rPr>
              <w:t>enterprise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virtualizačních prostředí, certifikace výrobce dodávaného hardwaru pro doložení kompetencí k implementaci daného HW řešení a certifikace </w:t>
            </w:r>
            <w:proofErr w:type="spellStart"/>
            <w:r w:rsidRPr="00A82795">
              <w:rPr>
                <w:rFonts w:ascii="Times New Roman" w:hAnsi="Times New Roman" w:cs="Times New Roman"/>
              </w:rPr>
              <w:t>Veeam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(např. VMCE) pro odbornou implementaci a konfiguraci zálohovacího systému.</w:t>
            </w:r>
          </w:p>
          <w:p w14:paraId="446C3EFC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  <w:color w:val="000000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 xml:space="preserve">Součástí implementace je tak instalace nového doménového prostředí na systému Windows Server 2022, vytvoření nového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domain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controlleru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(DC) a záložního DC, včetně upgradu domény. Dodavatel musí provést migraci všech objektů (uživatelé, skupiny, GPO, služby) ze stávajícího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Active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Directory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do nového prostředí a zajistit odstavení původních doménových řadičů.</w:t>
            </w:r>
          </w:p>
          <w:p w14:paraId="07B9154E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  <w:color w:val="000000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 xml:space="preserve">Dále musí být implementován zálohovací systém, nastaveny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backup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joby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, definována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disaster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2795">
              <w:rPr>
                <w:rFonts w:ascii="Times New Roman" w:hAnsi="Times New Roman" w:cs="Times New Roman"/>
                <w:color w:val="000000"/>
              </w:rPr>
              <w:t>recovery</w:t>
            </w:r>
            <w:proofErr w:type="spellEnd"/>
            <w:r w:rsidRPr="00A82795">
              <w:rPr>
                <w:rFonts w:ascii="Times New Roman" w:hAnsi="Times New Roman" w:cs="Times New Roman"/>
                <w:color w:val="000000"/>
              </w:rPr>
              <w:t xml:space="preserve"> politika (DR) a ověřena funkčnost procesu obnovy.</w:t>
            </w:r>
          </w:p>
          <w:p w14:paraId="6272F6F3" w14:textId="77777777" w:rsidR="00B55603" w:rsidRPr="00A82795" w:rsidRDefault="00B55603" w:rsidP="00B66159">
            <w:pPr>
              <w:pStyle w:val="normal11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82795">
              <w:rPr>
                <w:rFonts w:ascii="Times New Roman" w:hAnsi="Times New Roman" w:cs="Times New Roman"/>
                <w:color w:val="000000"/>
              </w:rPr>
              <w:t xml:space="preserve">Dodavatel je povinen vytvořit kompletní projektovou a provozní dokumentaci celého řešení, včetně topologie, konfigurací a provozních scénářů, a zajistit zaškolení administrátorů pro správu a provoz všech dodaných technologií, HCI </w:t>
            </w:r>
            <w:r w:rsidRPr="00A82795">
              <w:rPr>
                <w:rFonts w:ascii="Times New Roman" w:hAnsi="Times New Roman" w:cs="Times New Roman"/>
                <w:color w:val="000000"/>
              </w:rPr>
              <w:lastRenderedPageBreak/>
              <w:t>platformy, virtualizace, síťové infrastruktury, zálohování a doménového prostředí.</w:t>
            </w:r>
          </w:p>
        </w:tc>
        <w:tc>
          <w:tcPr>
            <w:tcW w:w="1180" w:type="dxa"/>
            <w:vAlign w:val="center"/>
          </w:tcPr>
          <w:p w14:paraId="6F78A928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3F0BD824" w14:textId="77777777" w:rsidTr="00B66159">
        <w:trPr>
          <w:trHeight w:val="5127"/>
        </w:trPr>
        <w:tc>
          <w:tcPr>
            <w:tcW w:w="1944" w:type="dxa"/>
            <w:vAlign w:val="center"/>
          </w:tcPr>
          <w:p w14:paraId="7378DE26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Technická podpora (HCI)</w:t>
            </w:r>
          </w:p>
        </w:tc>
        <w:tc>
          <w:tcPr>
            <w:tcW w:w="7342" w:type="dxa"/>
            <w:vAlign w:val="center"/>
          </w:tcPr>
          <w:p w14:paraId="7EEF493F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Veškerý hardware i software tvořící HCI platformu musí být po dobu minimálně pěti let (60 měsíců) pokryt jednotnou technickou podporou výrobce. Tato podpora musí zahrnovat přístup k aktualizacím, opravám a bezpečnostním záplatám všech komponent HCI platformy, včetně virtualizační vrstvy, nástrojů správy, úložiště a firmwaru zařízení.</w:t>
            </w:r>
          </w:p>
          <w:p w14:paraId="3CD9E6F4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Součástí musí být také servisní zásahy a výměny vadného hardwaru v souladu se servisní úrovní stanovenou výrobcem, s garancí reakce v režimu NBD (</w:t>
            </w:r>
            <w:proofErr w:type="spellStart"/>
            <w:r w:rsidRPr="00A82795">
              <w:rPr>
                <w:rFonts w:ascii="Times New Roman" w:hAnsi="Times New Roman" w:cs="Times New Roman"/>
              </w:rPr>
              <w:t>Next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Business </w:t>
            </w:r>
            <w:proofErr w:type="spellStart"/>
            <w:r w:rsidRPr="00A82795">
              <w:rPr>
                <w:rFonts w:ascii="Times New Roman" w:hAnsi="Times New Roman" w:cs="Times New Roman"/>
              </w:rPr>
              <w:t>Day</w:t>
            </w:r>
            <w:proofErr w:type="spellEnd"/>
            <w:r w:rsidRPr="00A82795">
              <w:rPr>
                <w:rFonts w:ascii="Times New Roman" w:hAnsi="Times New Roman" w:cs="Times New Roman"/>
              </w:rPr>
              <w:t>) nebo lepším, a 24×7 přístup k technické podpoře prostřednictvím telefonu, webového portálu nebo e-mailu.</w:t>
            </w:r>
          </w:p>
          <w:p w14:paraId="0E7DFC3B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Podpora musí být poskytována prostřednictvím jednotného kontaktního místa, které pokrývá veškeré komponenty HCI řešení, tedy jak hardware, tak software. Dále musí být zajištěn přístup k portálu výrobce, znalostní bázi, nástrojům pro správu životního cyklu (LCM) a sledování verzí.</w:t>
            </w:r>
          </w:p>
          <w:p w14:paraId="124211E4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Podpora musí umožňovat proaktivní správu životního cyklu systému, včetně poskytování doporučení k aktualizacím, plánování verzí a zajištění kompatibility všech vrstev HCI platformy.</w:t>
            </w:r>
          </w:p>
        </w:tc>
        <w:tc>
          <w:tcPr>
            <w:tcW w:w="1180" w:type="dxa"/>
            <w:vAlign w:val="center"/>
          </w:tcPr>
          <w:p w14:paraId="0BB522FC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5ED3B3AB" w14:textId="77777777" w:rsidTr="00B66159">
        <w:tc>
          <w:tcPr>
            <w:tcW w:w="1944" w:type="dxa"/>
            <w:vAlign w:val="center"/>
          </w:tcPr>
          <w:p w14:paraId="446FB891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Technická podpora (</w:t>
            </w:r>
            <w:proofErr w:type="spellStart"/>
            <w:r w:rsidRPr="00A82795">
              <w:rPr>
                <w:rFonts w:ascii="Times New Roman" w:hAnsi="Times New Roman" w:cs="Times New Roman"/>
              </w:rPr>
              <w:t>Backup</w:t>
            </w:r>
            <w:proofErr w:type="spellEnd"/>
            <w:r w:rsidRPr="00A82795">
              <w:rPr>
                <w:rFonts w:ascii="Times New Roman" w:hAnsi="Times New Roman" w:cs="Times New Roman"/>
              </w:rPr>
              <w:t xml:space="preserve"> server)</w:t>
            </w:r>
          </w:p>
        </w:tc>
        <w:tc>
          <w:tcPr>
            <w:tcW w:w="7342" w:type="dxa"/>
            <w:vAlign w:val="center"/>
          </w:tcPr>
          <w:p w14:paraId="0D086434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Pro zálohovací server je požadována technická podpora v režimu 24×7 s garantovanou dobou opravy na místě následující pracovní den (NBD on-</w:t>
            </w:r>
            <w:proofErr w:type="spellStart"/>
            <w:r w:rsidRPr="00A82795">
              <w:rPr>
                <w:rFonts w:ascii="Times New Roman" w:hAnsi="Times New Roman" w:cs="Times New Roman"/>
              </w:rPr>
              <w:t>site</w:t>
            </w:r>
            <w:proofErr w:type="spellEnd"/>
            <w:r w:rsidRPr="00A82795">
              <w:rPr>
                <w:rFonts w:ascii="Times New Roman" w:hAnsi="Times New Roman" w:cs="Times New Roman"/>
              </w:rPr>
              <w:t>). Tato úroveň podpory musí být zajištěna po celou dobu platnosti sjednané servisní smlouvy, minimálně po dobu 60 měsíců, a musí se vztahovat na všechny komponenty zálohovacího serveru, včetně hardwaru, firmwaru a operačního systému.</w:t>
            </w:r>
          </w:p>
          <w:p w14:paraId="15F8C3FC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Podpora musí zahrnovat vzdálenou diagnostiku, možnost eskalace incidentů a výměnu vadného hardwaru.</w:t>
            </w:r>
          </w:p>
        </w:tc>
        <w:tc>
          <w:tcPr>
            <w:tcW w:w="1180" w:type="dxa"/>
            <w:vAlign w:val="center"/>
          </w:tcPr>
          <w:p w14:paraId="03834AA8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  <w:tr w:rsidR="00B55603" w:rsidRPr="00A82795" w14:paraId="4FCC09B7" w14:textId="77777777" w:rsidTr="00B66159">
        <w:tc>
          <w:tcPr>
            <w:tcW w:w="1944" w:type="dxa"/>
            <w:vAlign w:val="center"/>
          </w:tcPr>
          <w:p w14:paraId="7AA0A080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Technická podpora (Síťová Infrastruktura)</w:t>
            </w:r>
          </w:p>
        </w:tc>
        <w:tc>
          <w:tcPr>
            <w:tcW w:w="7342" w:type="dxa"/>
            <w:vAlign w:val="center"/>
          </w:tcPr>
          <w:p w14:paraId="7F3A5897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Pro síťovou infrastrukturu je požadována technická podpora v režimu 24×7 s garantovanou dobou zahájení opravy na místě následující pracovní den (NBD on-</w:t>
            </w:r>
            <w:proofErr w:type="spellStart"/>
            <w:r w:rsidRPr="00A82795">
              <w:rPr>
                <w:rFonts w:ascii="Times New Roman" w:hAnsi="Times New Roman" w:cs="Times New Roman"/>
              </w:rPr>
              <w:t>site</w:t>
            </w:r>
            <w:proofErr w:type="spellEnd"/>
            <w:r w:rsidRPr="00A82795">
              <w:rPr>
                <w:rFonts w:ascii="Times New Roman" w:hAnsi="Times New Roman" w:cs="Times New Roman"/>
              </w:rPr>
              <w:t>). Tato úroveň podpory musí být zajištěna po celou dobu platnosti sjednané servisní smlouvy, minimálně po dobu 60 měsíců, a musí se vztahovat na všechny komponenty síťové infrastruktury.</w:t>
            </w:r>
          </w:p>
          <w:p w14:paraId="7C659010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  <w:r w:rsidRPr="00A82795">
              <w:rPr>
                <w:rFonts w:ascii="Times New Roman" w:hAnsi="Times New Roman" w:cs="Times New Roman"/>
              </w:rPr>
              <w:t>Podpora musí zahrnovat vzdálenou diagnostiku, možnost eskalace incidentů a výměnu vadného hardwaru.</w:t>
            </w:r>
          </w:p>
        </w:tc>
        <w:tc>
          <w:tcPr>
            <w:tcW w:w="1180" w:type="dxa"/>
            <w:vAlign w:val="center"/>
          </w:tcPr>
          <w:p w14:paraId="5F54B5B7" w14:textId="77777777" w:rsidR="00B55603" w:rsidRPr="00A82795" w:rsidRDefault="00B55603" w:rsidP="00B66159">
            <w:pPr>
              <w:pStyle w:val="normal11"/>
              <w:rPr>
                <w:rFonts w:ascii="Times New Roman" w:hAnsi="Times New Roman" w:cs="Times New Roman"/>
              </w:rPr>
            </w:pPr>
          </w:p>
        </w:tc>
      </w:tr>
    </w:tbl>
    <w:p w14:paraId="619DA252" w14:textId="77777777" w:rsidR="00B55603" w:rsidRPr="00A82795" w:rsidRDefault="00B55603" w:rsidP="00B55603">
      <w:pPr>
        <w:pStyle w:val="normal11"/>
        <w:rPr>
          <w:rFonts w:ascii="Times New Roman" w:hAnsi="Times New Roman" w:cs="Times New Roman"/>
        </w:rPr>
      </w:pPr>
    </w:p>
    <w:p w14:paraId="62CED99E" w14:textId="77777777" w:rsidR="004919D6" w:rsidRPr="00B55603" w:rsidRDefault="004919D6">
      <w:pPr>
        <w:rPr>
          <w:lang w:val="cs-CZ"/>
        </w:rPr>
      </w:pPr>
    </w:p>
    <w:sectPr w:rsidR="004919D6" w:rsidRPr="00B55603" w:rsidSect="00B55603">
      <w:headerReference w:type="first" r:id="rId7"/>
      <w:pgSz w:w="11906" w:h="16838"/>
      <w:pgMar w:top="720" w:right="720" w:bottom="720" w:left="720" w:header="0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E2C9" w14:textId="77777777" w:rsidR="00C81B42" w:rsidRDefault="00C81B42">
      <w:pPr>
        <w:spacing w:after="0" w:line="240" w:lineRule="auto"/>
      </w:pPr>
      <w:r>
        <w:separator/>
      </w:r>
    </w:p>
  </w:endnote>
  <w:endnote w:type="continuationSeparator" w:id="0">
    <w:p w14:paraId="5595EA8B" w14:textId="77777777" w:rsidR="00C81B42" w:rsidRDefault="00C8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2BE4" w14:textId="77777777" w:rsidR="00C81B42" w:rsidRDefault="00C81B42">
      <w:pPr>
        <w:spacing w:after="0" w:line="240" w:lineRule="auto"/>
      </w:pPr>
      <w:r>
        <w:separator/>
      </w:r>
    </w:p>
  </w:footnote>
  <w:footnote w:type="continuationSeparator" w:id="0">
    <w:p w14:paraId="0DF36B32" w14:textId="77777777" w:rsidR="00C81B42" w:rsidRDefault="00C8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12C1" w14:textId="77777777" w:rsidR="00B55603" w:rsidRPr="002C3EF5" w:rsidRDefault="00B55603" w:rsidP="002C3EF5">
    <w:pPr>
      <w:pStyle w:val="Zhlav"/>
      <w:jc w:val="right"/>
      <w:rPr>
        <w:rFonts w:ascii="Times New Roman" w:hAnsi="Times New Roman" w:cs="Times New Roman"/>
        <w:lang w:val="cs-CZ"/>
      </w:rPr>
    </w:pPr>
    <w:r w:rsidRPr="002C3EF5">
      <w:rPr>
        <w:rFonts w:ascii="Times New Roman" w:hAnsi="Times New Roman" w:cs="Times New Roman"/>
        <w:b/>
        <w:lang w:val="cs-CZ"/>
      </w:rPr>
      <w:t xml:space="preserve">Příloha č. </w:t>
    </w:r>
    <w:r>
      <w:rPr>
        <w:rFonts w:ascii="Times New Roman" w:hAnsi="Times New Roman" w:cs="Times New Roman"/>
        <w:b/>
        <w:lang w:val="cs-CZ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0426"/>
    <w:multiLevelType w:val="multilevel"/>
    <w:tmpl w:val="56F46A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432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03"/>
    <w:rsid w:val="0013718B"/>
    <w:rsid w:val="004919D6"/>
    <w:rsid w:val="008C395E"/>
    <w:rsid w:val="009467F0"/>
    <w:rsid w:val="00A324B0"/>
    <w:rsid w:val="00B55603"/>
    <w:rsid w:val="00B5653E"/>
    <w:rsid w:val="00C81B42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F5AE"/>
  <w15:chartTrackingRefBased/>
  <w15:docId w15:val="{B354BD1D-2BD4-42C5-AD5E-2D4A1F43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5603"/>
    <w:rPr>
      <w:rFonts w:ascii="Calibri" w:eastAsia="Calibri" w:hAnsi="Calibri" w:cs="Calibri"/>
      <w:kern w:val="0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55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5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1B42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5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56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5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5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5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5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5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5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81B42"/>
    <w:rPr>
      <w:rFonts w:ascii="Times New Roman" w:eastAsiaTheme="majorEastAsia" w:hAnsi="Times New Roman" w:cstheme="majorBidi"/>
      <w:b/>
      <w:kern w:val="0"/>
      <w:sz w:val="28"/>
      <w:szCs w:val="28"/>
      <w:lang w:val="cs"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56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56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56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56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56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56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5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5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5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5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56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56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56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5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560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5603"/>
    <w:rPr>
      <w:b/>
      <w:bCs/>
      <w:smallCaps/>
      <w:color w:val="2F5496" w:themeColor="accent1" w:themeShade="BF"/>
      <w:spacing w:val="5"/>
    </w:rPr>
  </w:style>
  <w:style w:type="paragraph" w:customStyle="1" w:styleId="normal11">
    <w:name w:val="normal11"/>
    <w:qFormat/>
    <w:rsid w:val="00B55603"/>
    <w:rPr>
      <w:rFonts w:ascii="Calibri" w:eastAsia="Calibri" w:hAnsi="Calibri" w:cs="Calibri"/>
      <w:kern w:val="0"/>
      <w:lang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5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5603"/>
    <w:rPr>
      <w:rFonts w:ascii="Calibri" w:eastAsia="Calibri" w:hAnsi="Calibri" w:cs="Calibri"/>
      <w:kern w:val="0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4430</Words>
  <Characters>26140</Characters>
  <Application>Microsoft Office Word</Application>
  <DocSecurity>0</DocSecurity>
  <Lines>217</Lines>
  <Paragraphs>61</Paragraphs>
  <ScaleCrop>false</ScaleCrop>
  <Company/>
  <LinksUpToDate>false</LinksUpToDate>
  <CharactersWithSpaces>30509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Vébr</dc:creator>
  <cp:keywords/>
  <dc:description/>
  <cp:lastModifiedBy>Lukáš Vébr</cp:lastModifiedBy>
  <cp:revision>2</cp:revision>
  <dcterms:created xsi:type="dcterms:W3CDTF">2025-10-17T09:40:00Z</dcterms:created>
  <dcterms:modified xsi:type="dcterms:W3CDTF">2025-10-17T09:48:00Z</dcterms:modified>
</cp:coreProperties>
</file>